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widowControl/>
        <w:adjustRightInd w:val="0"/>
        <w:spacing w:before="75" w:beforeAutospacing="0" w:after="75" w:afterAutospacing="0"/>
        <w:jc w:val="center"/>
        <w:rPr>
          <w:rStyle w:val="24"/>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jc w:val="center"/>
        <w:rPr>
          <w:rStyle w:val="24"/>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jc w:val="center"/>
        <w:rPr>
          <w:rFonts w:ascii="宋体" w:hAnsi="宋体" w:cs="宋体"/>
          <w:color w:val="000000" w:themeColor="text1"/>
          <w:sz w:val="72"/>
          <w:szCs w:val="72"/>
          <w14:textFill>
            <w14:solidFill>
              <w14:schemeClr w14:val="tx1"/>
            </w14:solidFill>
          </w14:textFill>
        </w:rPr>
      </w:pPr>
    </w:p>
    <w:p>
      <w:pPr>
        <w:pStyle w:val="18"/>
        <w:widowControl/>
        <w:adjustRightInd w:val="0"/>
        <w:spacing w:before="75" w:beforeAutospacing="0" w:after="75" w:afterAutospacing="0"/>
        <w:jc w:val="center"/>
        <w:rPr>
          <w:rFonts w:ascii="宋体" w:hAnsi="宋体" w:cs="宋体"/>
          <w:color w:val="000000" w:themeColor="text1"/>
          <w:sz w:val="96"/>
          <w:szCs w:val="96"/>
          <w14:textFill>
            <w14:solidFill>
              <w14:schemeClr w14:val="tx1"/>
            </w14:solidFill>
          </w14:textFill>
        </w:rPr>
      </w:pPr>
      <w:r>
        <w:rPr>
          <w:rStyle w:val="24"/>
          <w:rFonts w:hint="eastAsia" w:ascii="宋体" w:hAnsi="宋体" w:cs="宋体"/>
          <w:color w:val="000000" w:themeColor="text1"/>
          <w:sz w:val="96"/>
          <w:szCs w:val="96"/>
          <w:shd w:val="clear" w:color="auto" w:fill="FFFFFF"/>
          <w14:textFill>
            <w14:solidFill>
              <w14:schemeClr w14:val="tx1"/>
            </w14:solidFill>
          </w14:textFill>
        </w:rPr>
        <w:t>竞争性磋商文件</w:t>
      </w:r>
    </w:p>
    <w:p>
      <w:pPr>
        <w:pStyle w:val="18"/>
        <w:widowControl/>
        <w:adjustRightInd w:val="0"/>
        <w:spacing w:before="75" w:beforeAutospacing="0" w:after="75" w:afterAutospacing="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rPr>
          <w:rStyle w:val="24"/>
          <w:rFonts w:ascii="宋体" w:hAnsi="宋体" w:cs="宋体"/>
          <w:color w:val="000000" w:themeColor="text1"/>
          <w:shd w:val="clear" w:color="auto" w:fill="FFFFFF"/>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xml:space="preserve">   </w:t>
      </w:r>
    </w:p>
    <w:p>
      <w:pPr>
        <w:pStyle w:val="18"/>
        <w:widowControl/>
        <w:adjustRightInd w:val="0"/>
        <w:spacing w:before="75" w:beforeAutospacing="0" w:after="75" w:afterAutospacing="0"/>
        <w:rPr>
          <w:rStyle w:val="24"/>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Style w:val="24"/>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Style w:val="24"/>
          <w:rFonts w:ascii="宋体" w:hAnsi="宋体" w:cs="宋体"/>
          <w:color w:val="000000" w:themeColor="text1"/>
          <w:shd w:val="clear" w:color="auto" w:fill="FFFFFF"/>
          <w14:textFill>
            <w14:solidFill>
              <w14:schemeClr w14:val="tx1"/>
            </w14:solidFill>
          </w14:textFill>
        </w:rPr>
      </w:pPr>
    </w:p>
    <w:p>
      <w:pPr>
        <w:pStyle w:val="18"/>
        <w:widowControl/>
        <w:adjustRightInd w:val="0"/>
        <w:snapToGrid w:val="0"/>
        <w:spacing w:beforeAutospacing="0" w:afterAutospacing="0" w:line="360" w:lineRule="auto"/>
        <w:ind w:firstLine="361" w:firstLineChars="100"/>
        <w:jc w:val="center"/>
        <w:rPr>
          <w:rFonts w:ascii="宋体" w:hAnsi="宋体" w:cs="宋体"/>
          <w:color w:val="000000" w:themeColor="text1"/>
          <w:sz w:val="36"/>
          <w:szCs w:val="36"/>
          <w14:textFill>
            <w14:solidFill>
              <w14:schemeClr w14:val="tx1"/>
            </w14:solidFill>
          </w14:textFill>
        </w:rPr>
      </w:pPr>
      <w:r>
        <w:rPr>
          <w:rStyle w:val="24"/>
          <w:rFonts w:hint="eastAsia" w:ascii="宋体" w:hAnsi="宋体" w:cs="宋体"/>
          <w:color w:val="000000" w:themeColor="text1"/>
          <w:sz w:val="36"/>
          <w:szCs w:val="36"/>
          <w:shd w:val="clear" w:color="auto" w:fill="FFFFFF"/>
          <w14:textFill>
            <w14:solidFill>
              <w14:schemeClr w14:val="tx1"/>
            </w14:solidFill>
          </w14:textFill>
        </w:rPr>
        <w:t xml:space="preserve">    项目名称：</w:t>
      </w:r>
      <w:r>
        <w:rPr>
          <w:rFonts w:hint="eastAsia" w:ascii="宋体" w:hAnsi="宋体" w:cs="宋体"/>
          <w:b/>
          <w:color w:val="000000" w:themeColor="text1"/>
          <w:sz w:val="36"/>
          <w:szCs w:val="36"/>
          <w:u w:val="single"/>
          <w:shd w:val="clear" w:color="auto" w:fill="FFFFFF"/>
          <w14:textFill>
            <w14:solidFill>
              <w14:schemeClr w14:val="tx1"/>
            </w14:solidFill>
          </w14:textFill>
        </w:rPr>
        <w:t>天津大学福州国际联合学院2023-2024年招标代理遴选</w:t>
      </w:r>
    </w:p>
    <w:p>
      <w:pPr>
        <w:pStyle w:val="18"/>
        <w:widowControl/>
        <w:adjustRightInd w:val="0"/>
        <w:snapToGrid w:val="0"/>
        <w:spacing w:beforeAutospacing="0" w:afterAutospacing="0" w:line="480" w:lineRule="auto"/>
        <w:ind w:firstLine="1807" w:firstLineChars="500"/>
        <w:jc w:val="both"/>
        <w:rPr>
          <w:rFonts w:ascii="宋体" w:hAnsi="宋体" w:cs="宋体"/>
          <w:b/>
          <w:color w:val="000000" w:themeColor="text1"/>
          <w:sz w:val="36"/>
          <w:szCs w:val="36"/>
          <w:u w:val="single"/>
          <w:shd w:val="clear" w:color="auto" w:fill="FFFFFF"/>
          <w14:textFill>
            <w14:solidFill>
              <w14:schemeClr w14:val="tx1"/>
            </w14:solidFill>
          </w14:textFill>
        </w:rPr>
      </w:pPr>
      <w:r>
        <w:rPr>
          <w:rStyle w:val="24"/>
          <w:rFonts w:hint="eastAsia" w:ascii="宋体" w:hAnsi="宋体" w:cs="宋体"/>
          <w:color w:val="000000" w:themeColor="text1"/>
          <w:sz w:val="36"/>
          <w:szCs w:val="36"/>
          <w:shd w:val="clear" w:color="auto" w:fill="FFFFFF"/>
          <w14:textFill>
            <w14:solidFill>
              <w14:schemeClr w14:val="tx1"/>
            </w14:solidFill>
          </w14:textFill>
        </w:rPr>
        <w:t>项目编号：</w:t>
      </w:r>
      <w:r>
        <w:rPr>
          <w:rFonts w:hint="eastAsia" w:ascii="宋体" w:hAnsi="宋体" w:cs="宋体"/>
          <w:b/>
          <w:color w:val="000000" w:themeColor="text1"/>
          <w:sz w:val="36"/>
          <w:szCs w:val="36"/>
          <w:u w:val="single"/>
          <w:shd w:val="clear" w:color="auto" w:fill="FFFFFF"/>
          <w14:textFill>
            <w14:solidFill>
              <w14:schemeClr w14:val="tx1"/>
            </w14:solidFill>
          </w14:textFill>
        </w:rPr>
        <w:t>KTZBCS-2023109</w:t>
      </w:r>
    </w:p>
    <w:p>
      <w:pPr>
        <w:pStyle w:val="18"/>
        <w:widowControl/>
        <w:adjustRightInd w:val="0"/>
        <w:snapToGrid w:val="0"/>
        <w:spacing w:beforeAutospacing="0" w:afterAutospacing="0" w:line="480" w:lineRule="auto"/>
        <w:ind w:firstLine="1807" w:firstLineChars="500"/>
        <w:jc w:val="both"/>
        <w:rPr>
          <w:rFonts w:ascii="宋体" w:hAnsi="宋体" w:cs="宋体"/>
          <w:color w:val="000000" w:themeColor="text1"/>
          <w:sz w:val="36"/>
          <w:szCs w:val="36"/>
          <w14:textFill>
            <w14:solidFill>
              <w14:schemeClr w14:val="tx1"/>
            </w14:solidFill>
          </w14:textFill>
        </w:rPr>
      </w:pPr>
      <w:r>
        <w:rPr>
          <w:rFonts w:hint="eastAsia" w:ascii="宋体" w:hAnsi="宋体" w:cs="宋体"/>
          <w:b/>
          <w:color w:val="000000" w:themeColor="text1"/>
          <w:sz w:val="36"/>
          <w:szCs w:val="36"/>
          <w:shd w:val="clear" w:color="auto" w:fill="FFFFFF"/>
          <w14:textFill>
            <w14:solidFill>
              <w14:schemeClr w14:val="tx1"/>
            </w14:solidFill>
          </w14:textFill>
        </w:rPr>
        <w:t>采购人：</w:t>
      </w:r>
      <w:r>
        <w:rPr>
          <w:rFonts w:hint="eastAsia" w:ascii="宋体" w:hAnsi="宋体" w:cs="宋体"/>
          <w:b/>
          <w:sz w:val="36"/>
          <w:szCs w:val="36"/>
          <w:u w:val="single"/>
          <w:shd w:val="clear" w:color="auto" w:fill="FFFFFF"/>
        </w:rPr>
        <w:t>天津大学福州国际联合学院</w:t>
      </w:r>
    </w:p>
    <w:p>
      <w:pPr>
        <w:pStyle w:val="2"/>
        <w:rPr>
          <w:rFonts w:ascii="宋体" w:hAnsi="宋体" w:cs="宋体"/>
          <w:color w:val="000000" w:themeColor="text1"/>
          <w:sz w:val="36"/>
          <w:szCs w:val="36"/>
          <w:shd w:val="clear" w:color="auto" w:fill="FFFFFF"/>
          <w14:textFill>
            <w14:solidFill>
              <w14:schemeClr w14:val="tx1"/>
            </w14:solidFill>
          </w14:textFill>
        </w:rPr>
      </w:pPr>
      <w:r>
        <w:rPr>
          <w:rFonts w:hint="eastAsia" w:ascii="宋体" w:hAnsi="宋体" w:cs="宋体"/>
          <w:color w:val="000000" w:themeColor="text1"/>
          <w:sz w:val="36"/>
          <w:szCs w:val="36"/>
          <w:shd w:val="clear" w:color="auto" w:fill="FFFFFF"/>
          <w14:textFill>
            <w14:solidFill>
              <w14:schemeClr w14:val="tx1"/>
            </w14:solidFill>
          </w14:textFill>
        </w:rPr>
        <w:t>  </w:t>
      </w:r>
    </w:p>
    <w:p>
      <w:pPr>
        <w:pStyle w:val="2"/>
        <w:rPr>
          <w:rFonts w:ascii="宋体" w:hAnsi="宋体" w:cs="宋体"/>
          <w:color w:val="000000" w:themeColor="text1"/>
          <w:sz w:val="36"/>
          <w:szCs w:val="36"/>
          <w:shd w:val="clear" w:color="auto" w:fill="FFFFFF"/>
          <w14:textFill>
            <w14:solidFill>
              <w14:schemeClr w14:val="tx1"/>
            </w14:solidFill>
          </w14:textFill>
        </w:rPr>
      </w:pPr>
    </w:p>
    <w:p>
      <w:pPr>
        <w:pStyle w:val="2"/>
        <w:rPr>
          <w:rFonts w:ascii="宋体" w:hAnsi="宋体" w:cs="宋体"/>
          <w:color w:val="000000" w:themeColor="text1"/>
          <w:sz w:val="36"/>
          <w:szCs w:val="36"/>
          <w:shd w:val="clear" w:color="auto" w:fill="FFFFFF"/>
          <w14:textFill>
            <w14:solidFill>
              <w14:schemeClr w14:val="tx1"/>
            </w14:solidFill>
          </w14:textFill>
        </w:rPr>
      </w:pPr>
    </w:p>
    <w:p>
      <w:pPr>
        <w:pStyle w:val="18"/>
        <w:widowControl/>
        <w:adjustRightInd w:val="0"/>
        <w:snapToGrid w:val="0"/>
        <w:spacing w:beforeAutospacing="0" w:afterAutospacing="0" w:line="480"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kern w:val="28"/>
          <w:sz w:val="36"/>
          <w:szCs w:val="36"/>
          <w:shd w:val="clear" w:color="auto" w:fill="FFFFFF"/>
          <w14:textFill>
            <w14:solidFill>
              <w14:schemeClr w14:val="tx1"/>
            </w14:solidFill>
          </w14:textFill>
        </w:rPr>
        <w:t xml:space="preserve">     </w:t>
      </w:r>
      <w:r>
        <w:rPr>
          <w:rFonts w:hint="eastAsia" w:ascii="宋体" w:hAnsi="宋体" w:cs="宋体"/>
          <w:b/>
          <w:bCs/>
          <w:color w:val="000000" w:themeColor="text1"/>
          <w:kern w:val="28"/>
          <w:sz w:val="36"/>
          <w:szCs w:val="36"/>
          <w:shd w:val="clear" w:color="auto" w:fill="FFFFFF"/>
          <w14:textFill>
            <w14:solidFill>
              <w14:schemeClr w14:val="tx1"/>
            </w14:solidFill>
          </w14:textFill>
        </w:rPr>
        <w:t>采购代理机构：</w:t>
      </w:r>
      <w:r>
        <w:rPr>
          <w:rFonts w:hint="eastAsia" w:ascii="宋体" w:hAnsi="宋体" w:cs="宋体"/>
          <w:b/>
          <w:color w:val="000000" w:themeColor="text1"/>
          <w:sz w:val="36"/>
          <w:szCs w:val="36"/>
          <w:shd w:val="clear" w:color="auto" w:fill="FFFFFF"/>
          <w14:textFill>
            <w14:solidFill>
              <w14:schemeClr w14:val="tx1"/>
            </w14:solidFill>
          </w14:textFill>
        </w:rPr>
        <w:t>福建康泰招标有限公司</w:t>
      </w:r>
    </w:p>
    <w:p>
      <w:pPr>
        <w:pStyle w:val="18"/>
        <w:widowControl/>
        <w:adjustRightInd w:val="0"/>
        <w:snapToGrid w:val="0"/>
        <w:spacing w:beforeAutospacing="0" w:afterAutospacing="0" w:line="480" w:lineRule="auto"/>
        <w:jc w:val="center"/>
        <w:rPr>
          <w:rFonts w:ascii="宋体" w:hAnsi="宋体" w:cs="宋体"/>
          <w:color w:val="000000" w:themeColor="text1"/>
          <w:sz w:val="36"/>
          <w:szCs w:val="36"/>
          <w14:textFill>
            <w14:solidFill>
              <w14:schemeClr w14:val="tx1"/>
            </w14:solidFill>
          </w14:textFill>
        </w:rPr>
      </w:pPr>
      <w:r>
        <w:rPr>
          <w:rFonts w:hint="eastAsia" w:ascii="宋体" w:hAnsi="宋体"/>
          <w:b/>
          <w:sz w:val="36"/>
          <w:szCs w:val="36"/>
        </w:rPr>
        <w:t>二〇二三年七月</w:t>
      </w:r>
    </w:p>
    <w:p>
      <w:pPr>
        <w:pStyle w:val="2"/>
        <w:rPr>
          <w:rFonts w:ascii="宋体" w:hAnsi="宋体" w:cs="宋体"/>
          <w:color w:val="000000" w:themeColor="text1"/>
          <w:shd w:val="clear" w:color="auto" w:fill="FFFFFF"/>
          <w14:textFill>
            <w14:solidFill>
              <w14:schemeClr w14:val="tx1"/>
            </w14:solidFill>
          </w14:textFill>
        </w:rPr>
      </w:pPr>
    </w:p>
    <w:p>
      <w:pPr>
        <w:rPr>
          <w:rFonts w:ascii="宋体" w:hAnsi="宋体" w:cs="宋体"/>
          <w:b/>
          <w:bCs/>
          <w:color w:val="000000" w:themeColor="text1"/>
          <w:sz w:val="32"/>
          <w:szCs w:val="32"/>
          <w:shd w:val="clear" w:color="auto" w:fill="FFFFFF"/>
          <w14:textFill>
            <w14:solidFill>
              <w14:schemeClr w14:val="tx1"/>
            </w14:solidFill>
          </w14:textFill>
        </w:rPr>
      </w:pPr>
      <w:r>
        <w:rPr>
          <w:rFonts w:hint="eastAsia" w:ascii="宋体" w:hAnsi="宋体" w:cs="宋体"/>
          <w:b/>
          <w:bCs/>
          <w:color w:val="000000" w:themeColor="text1"/>
          <w:sz w:val="32"/>
          <w:szCs w:val="32"/>
          <w:shd w:val="clear" w:color="auto" w:fill="FFFFFF"/>
          <w14:textFill>
            <w14:solidFill>
              <w14:schemeClr w14:val="tx1"/>
            </w14:solidFill>
          </w14:textFill>
        </w:rPr>
        <w:br w:type="page"/>
      </w:r>
    </w:p>
    <w:p>
      <w:pPr>
        <w:pStyle w:val="18"/>
        <w:widowControl/>
        <w:adjustRightInd w:val="0"/>
        <w:spacing w:before="75" w:beforeAutospacing="0" w:after="75" w:afterAutospacing="0"/>
        <w:jc w:val="center"/>
        <w:rPr>
          <w:rFonts w:ascii="宋体" w:hAnsi="宋体" w:cs="宋体"/>
          <w:b/>
          <w:bCs/>
          <w:color w:val="000000" w:themeColor="text1"/>
          <w:sz w:val="32"/>
          <w:szCs w:val="32"/>
          <w:shd w:val="clear" w:color="auto" w:fill="FFFFFF"/>
          <w14:textFill>
            <w14:solidFill>
              <w14:schemeClr w14:val="tx1"/>
            </w14:solidFill>
          </w14:textFill>
        </w:rPr>
      </w:pPr>
      <w:r>
        <w:rPr>
          <w:rFonts w:hint="eastAsia" w:ascii="宋体" w:hAnsi="宋体" w:cs="宋体"/>
          <w:b/>
          <w:bCs/>
          <w:color w:val="000000" w:themeColor="text1"/>
          <w:sz w:val="32"/>
          <w:szCs w:val="32"/>
          <w:shd w:val="clear" w:color="auto" w:fill="FFFFFF"/>
          <w14:textFill>
            <w14:solidFill>
              <w14:schemeClr w14:val="tx1"/>
            </w14:solidFill>
          </w14:textFill>
        </w:rPr>
        <w:t>目录</w:t>
      </w:r>
    </w:p>
    <w:p>
      <w:pPr>
        <w:pStyle w:val="15"/>
        <w:tabs>
          <w:tab w:val="right" w:leader="dot" w:pos="8400"/>
        </w:tabs>
        <w:adjustRightInd w:val="0"/>
        <w:snapToGrid w:val="0"/>
        <w:spacing w:line="5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shd w:val="clear" w:color="auto" w:fill="FFFFFF"/>
          <w14:textFill>
            <w14:solidFill>
              <w14:schemeClr w14:val="tx1"/>
            </w14:solidFill>
          </w14:textFill>
        </w:rPr>
        <w:fldChar w:fldCharType="begin"/>
      </w:r>
      <w:r>
        <w:rPr>
          <w:rFonts w:hint="eastAsia" w:ascii="宋体" w:hAnsi="宋体" w:cs="宋体"/>
          <w:b/>
          <w:bCs/>
          <w:color w:val="000000" w:themeColor="text1"/>
          <w:sz w:val="24"/>
          <w:shd w:val="clear" w:color="auto" w:fill="FFFFFF"/>
          <w14:textFill>
            <w14:solidFill>
              <w14:schemeClr w14:val="tx1"/>
            </w14:solidFill>
          </w14:textFill>
        </w:rPr>
        <w:instrText xml:space="preserve">TOC \o "1-3" \h \u </w:instrText>
      </w:r>
      <w:r>
        <w:rPr>
          <w:rFonts w:hint="eastAsia" w:ascii="宋体" w:hAnsi="宋体" w:cs="宋体"/>
          <w:b/>
          <w:bCs/>
          <w:color w:val="000000" w:themeColor="text1"/>
          <w:sz w:val="24"/>
          <w:shd w:val="clear" w:color="auto" w:fill="FFFFFF"/>
          <w14:textFill>
            <w14:solidFill>
              <w14:schemeClr w14:val="tx1"/>
            </w14:solidFill>
          </w14:textFill>
        </w:rPr>
        <w:fldChar w:fldCharType="separate"/>
      </w:r>
      <w:r>
        <w:fldChar w:fldCharType="begin"/>
      </w:r>
      <w:r>
        <w:instrText xml:space="preserve"> HYPERLINK \l "_Toc30303" </w:instrText>
      </w:r>
      <w:r>
        <w:fldChar w:fldCharType="separate"/>
      </w:r>
      <w:r>
        <w:rPr>
          <w:rFonts w:hint="eastAsia" w:ascii="宋体" w:hAnsi="宋体" w:cs="宋体"/>
          <w:b/>
          <w:bCs/>
          <w:color w:val="000000" w:themeColor="text1"/>
          <w:sz w:val="24"/>
          <w14:textFill>
            <w14:solidFill>
              <w14:schemeClr w14:val="tx1"/>
            </w14:solidFill>
          </w14:textFill>
        </w:rPr>
        <w:t xml:space="preserve">第一章 </w:t>
      </w:r>
      <w:r>
        <w:rPr>
          <w:rFonts w:hint="eastAsia" w:ascii="宋体" w:hAnsi="宋体" w:cs="宋体"/>
          <w:b/>
          <w:bCs/>
          <w:color w:val="000000" w:themeColor="text1"/>
          <w:sz w:val="24"/>
          <w:shd w:val="clear" w:color="auto" w:fill="FFFFFF"/>
          <w14:textFill>
            <w14:solidFill>
              <w14:schemeClr w14:val="tx1"/>
            </w14:solidFill>
          </w14:textFill>
        </w:rPr>
        <w:t>采购邀请书</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_Toc30303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5"/>
        <w:tabs>
          <w:tab w:val="right" w:leader="dot" w:pos="8400"/>
        </w:tabs>
        <w:adjustRightInd w:val="0"/>
        <w:snapToGrid w:val="0"/>
        <w:spacing w:line="500" w:lineRule="exact"/>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"_Toc16872"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第二章 竞争性磋商须知</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_Toc16872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5</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6"/>
        <w:tabs>
          <w:tab w:val="right" w:leader="dot" w:pos="8400"/>
        </w:tabs>
        <w:adjustRightInd w:val="0"/>
        <w:snapToGrid w:val="0"/>
        <w:spacing w:line="500" w:lineRule="exact"/>
        <w:ind w:left="0" w:leftChars="0"/>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"_Toc17868"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第1节 竞争性磋商须知前附表</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_Toc17868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6</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6"/>
        <w:tabs>
          <w:tab w:val="right" w:leader="dot" w:pos="8400"/>
        </w:tabs>
        <w:adjustRightInd w:val="0"/>
        <w:snapToGrid w:val="0"/>
        <w:spacing w:line="500" w:lineRule="exact"/>
        <w:ind w:left="0" w:leftChars="0"/>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"_Toc17045"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专项附件：评审的标准和方法</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_Toc17045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6"/>
        <w:tabs>
          <w:tab w:val="right" w:leader="dot" w:pos="8400"/>
        </w:tabs>
        <w:adjustRightInd w:val="0"/>
        <w:snapToGrid w:val="0"/>
        <w:spacing w:line="500" w:lineRule="exact"/>
        <w:ind w:left="0" w:leftChars="0"/>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"_Toc16139"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一、磋商小组</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_Toc16139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6"/>
        <w:tabs>
          <w:tab w:val="right" w:leader="dot" w:pos="8400"/>
        </w:tabs>
        <w:adjustRightInd w:val="0"/>
        <w:snapToGrid w:val="0"/>
        <w:spacing w:line="500" w:lineRule="exact"/>
        <w:ind w:left="0" w:leftChars="0"/>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"_Toc3242"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二、磋商程序</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_Toc3242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6"/>
        <w:tabs>
          <w:tab w:val="right" w:leader="dot" w:pos="8400"/>
        </w:tabs>
        <w:adjustRightInd w:val="0"/>
        <w:snapToGrid w:val="0"/>
        <w:spacing w:line="500" w:lineRule="exact"/>
        <w:ind w:left="0" w:leftChars="0"/>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"_Toc18557"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三、综合评分的标准和方法</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_Toc18557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6"/>
        <w:tabs>
          <w:tab w:val="right" w:leader="dot" w:pos="8400"/>
        </w:tabs>
        <w:adjustRightInd w:val="0"/>
        <w:snapToGrid w:val="0"/>
        <w:spacing w:line="500" w:lineRule="exact"/>
        <w:ind w:left="0" w:leftChars="0"/>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"_Toc7648"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四、评审报告</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_Toc7648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17</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6"/>
        <w:tabs>
          <w:tab w:val="right" w:leader="dot" w:pos="8400"/>
        </w:tabs>
        <w:adjustRightInd w:val="0"/>
        <w:snapToGrid w:val="0"/>
        <w:spacing w:line="500" w:lineRule="exact"/>
        <w:ind w:left="0" w:leftChars="0"/>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"_Toc24146"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五、其他规定</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_Toc24146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17</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6"/>
        <w:tabs>
          <w:tab w:val="right" w:leader="dot" w:pos="8400"/>
        </w:tabs>
        <w:adjustRightInd w:val="0"/>
        <w:snapToGrid w:val="0"/>
        <w:spacing w:line="500" w:lineRule="exact"/>
        <w:ind w:left="0" w:leftChars="0"/>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"_Toc2465"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第2节 竞争性磋商须知 </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_Toc2465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18</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6"/>
        <w:tabs>
          <w:tab w:val="right" w:leader="dot" w:pos="8400"/>
        </w:tabs>
        <w:adjustRightInd w:val="0"/>
        <w:snapToGrid w:val="0"/>
        <w:spacing w:line="500" w:lineRule="exact"/>
        <w:ind w:left="0" w:leftChars="0"/>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"_Toc30324"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一、总则</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_Toc30324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18</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6"/>
        <w:tabs>
          <w:tab w:val="right" w:leader="dot" w:pos="8400"/>
        </w:tabs>
        <w:adjustRightInd w:val="0"/>
        <w:snapToGrid w:val="0"/>
        <w:spacing w:line="500" w:lineRule="exact"/>
        <w:ind w:left="0" w:leftChars="0"/>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"_Toc1451"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二、竞争性磋商文件</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_Toc1451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20</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6"/>
        <w:tabs>
          <w:tab w:val="right" w:leader="dot" w:pos="8400"/>
        </w:tabs>
        <w:adjustRightInd w:val="0"/>
        <w:snapToGrid w:val="0"/>
        <w:spacing w:line="500" w:lineRule="exact"/>
        <w:ind w:left="0" w:leftChars="0"/>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"_Toc12579"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三、响应文件编制</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_Toc12579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21</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6"/>
        <w:tabs>
          <w:tab w:val="right" w:leader="dot" w:pos="8400"/>
        </w:tabs>
        <w:adjustRightInd w:val="0"/>
        <w:snapToGrid w:val="0"/>
        <w:spacing w:line="500" w:lineRule="exact"/>
        <w:ind w:left="0" w:leftChars="0"/>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"_Toc21713"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四、竞争性磋商</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_Toc21713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25</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6"/>
        <w:tabs>
          <w:tab w:val="right" w:leader="dot" w:pos="8400"/>
        </w:tabs>
        <w:adjustRightInd w:val="0"/>
        <w:snapToGrid w:val="0"/>
        <w:spacing w:line="500" w:lineRule="exact"/>
        <w:ind w:left="0" w:leftChars="0"/>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"_Toc9010"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五、合同授予</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_Toc9010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28</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6"/>
        <w:tabs>
          <w:tab w:val="right" w:leader="dot" w:pos="8400"/>
        </w:tabs>
        <w:adjustRightInd w:val="0"/>
        <w:snapToGrid w:val="0"/>
        <w:spacing w:line="500" w:lineRule="exact"/>
        <w:ind w:left="0" w:leftChars="0"/>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"_Toc18625"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六、询问、质疑与投诉</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_Toc18625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29</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6"/>
        <w:tabs>
          <w:tab w:val="right" w:leader="dot" w:pos="8400"/>
        </w:tabs>
        <w:adjustRightInd w:val="0"/>
        <w:snapToGrid w:val="0"/>
        <w:spacing w:line="500" w:lineRule="exact"/>
        <w:ind w:left="0" w:leftChars="0"/>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"_Toc12082"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七、有关信息公告和监督部门</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_Toc12082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31</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6"/>
        <w:tabs>
          <w:tab w:val="right" w:leader="dot" w:pos="8400"/>
        </w:tabs>
        <w:adjustRightInd w:val="0"/>
        <w:snapToGrid w:val="0"/>
        <w:spacing w:line="500" w:lineRule="exact"/>
        <w:ind w:left="0" w:leftChars="0"/>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"_Toc6900"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八、根据采购项目特点或政策需要补充的其他内容</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_Toc6900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31</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5"/>
        <w:tabs>
          <w:tab w:val="right" w:leader="dot" w:pos="8400"/>
        </w:tabs>
        <w:adjustRightInd w:val="0"/>
        <w:snapToGrid w:val="0"/>
        <w:spacing w:line="500" w:lineRule="exact"/>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"_Toc19744"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第三章 采购内容及要求</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_Toc19744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33</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5"/>
        <w:tabs>
          <w:tab w:val="right" w:leader="dot" w:pos="8400"/>
        </w:tabs>
        <w:adjustRightInd w:val="0"/>
        <w:snapToGrid w:val="0"/>
        <w:spacing w:line="500" w:lineRule="exact"/>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"_Toc7737"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第四章 合同主要条款及格式</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_Toc7737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33</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5"/>
        <w:tabs>
          <w:tab w:val="right" w:leader="dot" w:pos="8400"/>
        </w:tabs>
        <w:adjustRightInd w:val="0"/>
        <w:snapToGrid w:val="0"/>
        <w:spacing w:line="500" w:lineRule="exact"/>
        <w:jc w:val="center"/>
        <w:rPr>
          <w:rFonts w:ascii="宋体" w:hAnsi="宋体" w:cs="宋体"/>
          <w:b/>
          <w:bCs/>
          <w:color w:val="000000" w:themeColor="text1"/>
          <w:sz w:val="24"/>
          <w14:textFill>
            <w14:solidFill>
              <w14:schemeClr w14:val="tx1"/>
            </w14:solidFill>
          </w14:textFill>
        </w:rPr>
      </w:pPr>
      <w:r>
        <w:fldChar w:fldCharType="begin"/>
      </w:r>
      <w:r>
        <w:instrText xml:space="preserve"> HYPERLINK \l "_Toc23625" </w:instrText>
      </w:r>
      <w:r>
        <w:fldChar w:fldCharType="separate"/>
      </w:r>
      <w:r>
        <w:rPr>
          <w:rFonts w:hint="eastAsia" w:ascii="宋体" w:hAnsi="宋体" w:cs="宋体"/>
          <w:b/>
          <w:bCs/>
          <w:color w:val="000000" w:themeColor="text1"/>
          <w:sz w:val="24"/>
          <w:shd w:val="clear" w:color="auto" w:fill="FFFFFF"/>
          <w14:textFill>
            <w14:solidFill>
              <w14:schemeClr w14:val="tx1"/>
            </w14:solidFill>
          </w14:textFill>
        </w:rPr>
        <w:t>第五章 首次响应文件格式</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PAGEREF _Toc23625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55</w:t>
      </w:r>
      <w:r>
        <w:rPr>
          <w:rFonts w:hint="eastAsia" w:ascii="宋体" w:hAnsi="宋体" w:cs="宋体"/>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widowControl/>
        <w:adjustRightInd w:val="0"/>
        <w:snapToGrid w:val="0"/>
        <w:spacing w:beforeAutospacing="0" w:afterAutospacing="0" w:line="500" w:lineRule="exact"/>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fldChar w:fldCharType="end"/>
      </w:r>
    </w:p>
    <w:p>
      <w:pPr>
        <w:spacing w:line="500" w:lineRule="exact"/>
        <w:ind w:firstLine="482" w:firstLineChars="200"/>
        <w:rPr>
          <w:rFonts w:ascii="宋体" w:hAnsi="宋体"/>
          <w:sz w:val="24"/>
        </w:rPr>
      </w:pPr>
      <w:r>
        <w:rPr>
          <w:rFonts w:hint="eastAsia" w:ascii="宋体" w:hAnsi="宋体"/>
          <w:b/>
          <w:sz w:val="24"/>
        </w:rPr>
        <w:t>注：本磋商文件共</w:t>
      </w:r>
      <w:r>
        <w:rPr>
          <w:rFonts w:hint="eastAsia" w:ascii="宋体" w:hAnsi="宋体"/>
          <w:b/>
          <w:sz w:val="24"/>
          <w:u w:val="single"/>
        </w:rPr>
        <w:t xml:space="preserve">  8</w:t>
      </w:r>
      <w:r>
        <w:rPr>
          <w:rFonts w:ascii="宋体" w:hAnsi="宋体"/>
          <w:b/>
          <w:sz w:val="24"/>
          <w:u w:val="single"/>
        </w:rPr>
        <w:t>3</w:t>
      </w:r>
      <w:r>
        <w:rPr>
          <w:rFonts w:hint="eastAsia" w:ascii="宋体" w:hAnsi="宋体"/>
          <w:b/>
          <w:sz w:val="24"/>
          <w:u w:val="single"/>
        </w:rPr>
        <w:t xml:space="preserve"> </w:t>
      </w:r>
      <w:r>
        <w:rPr>
          <w:rFonts w:hint="eastAsia" w:ascii="宋体" w:hAnsi="宋体"/>
          <w:b/>
          <w:sz w:val="24"/>
        </w:rPr>
        <w:t>页（含封面），请供应商领取磋商文件时自行核对，如发现缺、损等情况，自领取磋商文件之日起二日内向福建康泰招标有限公司提出，否则，由此造成的一切后果由供应商自负。</w:t>
      </w:r>
    </w:p>
    <w:p>
      <w:pPr>
        <w:adjustRightInd w:val="0"/>
        <w:rPr>
          <w:rStyle w:val="24"/>
          <w:rFonts w:ascii="宋体" w:hAnsi="宋体" w:cs="宋体"/>
          <w:color w:val="000000" w:themeColor="text1"/>
          <w:sz w:val="24"/>
          <w:shd w:val="clear" w:color="auto" w:fill="FFFFFF"/>
          <w14:textFill>
            <w14:solidFill>
              <w14:schemeClr w14:val="tx1"/>
            </w14:solidFill>
          </w14:textFill>
        </w:rPr>
      </w:pPr>
    </w:p>
    <w:p>
      <w:pPr>
        <w:pStyle w:val="18"/>
        <w:widowControl/>
        <w:spacing w:before="76" w:beforeAutospacing="0" w:after="76" w:afterAutospacing="0"/>
        <w:ind w:left="-362" w:right="-362"/>
        <w:jc w:val="center"/>
        <w:rPr>
          <w:sz w:val="36"/>
          <w:szCs w:val="36"/>
        </w:rPr>
      </w:pPr>
      <w:bookmarkStart w:id="0" w:name="_Toc30303"/>
      <w:r>
        <w:rPr>
          <w:rFonts w:hint="eastAsia" w:ascii="微软雅黑" w:hAnsi="微软雅黑" w:eastAsia="微软雅黑" w:cs="微软雅黑"/>
          <w:sz w:val="36"/>
          <w:szCs w:val="36"/>
          <w:shd w:val="clear" w:color="auto" w:fill="FFFFFF"/>
        </w:rPr>
        <w:t> </w:t>
      </w:r>
      <w:r>
        <w:rPr>
          <w:rStyle w:val="24"/>
          <w:rFonts w:hint="eastAsia" w:ascii="宋体" w:hAnsi="宋体" w:cs="宋体"/>
          <w:sz w:val="36"/>
          <w:szCs w:val="36"/>
          <w:shd w:val="clear" w:color="auto" w:fill="FFFFFF"/>
        </w:rPr>
        <w:t>第一章  采购邀请书</w:t>
      </w:r>
    </w:p>
    <w:bookmarkEnd w:id="0"/>
    <w:p>
      <w:pPr>
        <w:pStyle w:val="18"/>
        <w:widowControl/>
        <w:spacing w:before="76" w:beforeAutospacing="0" w:after="76" w:afterAutospacing="0"/>
        <w:ind w:left="-362" w:right="-362"/>
        <w:jc w:val="center"/>
      </w:pPr>
      <w:r>
        <w:rPr>
          <w:rStyle w:val="24"/>
          <w:rFonts w:hint="eastAsia" w:ascii="宋体" w:hAnsi="宋体" w:cs="宋体"/>
          <w:sz w:val="36"/>
          <w:szCs w:val="36"/>
          <w:shd w:val="clear" w:color="auto" w:fill="FFFFFF"/>
        </w:rPr>
        <w:t>竞争性磋商采购公告</w:t>
      </w:r>
    </w:p>
    <w:p>
      <w:pPr>
        <w:pStyle w:val="18"/>
        <w:widowControl/>
        <w:adjustRightInd w:val="0"/>
        <w:snapToGrid w:val="0"/>
        <w:spacing w:beforeAutospacing="0" w:afterAutospacing="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u w:val="single"/>
          <w:shd w:val="clear" w:color="auto" w:fill="FFFFFF"/>
          <w14:textFill>
            <w14:solidFill>
              <w14:schemeClr w14:val="tx1"/>
            </w14:solidFill>
          </w14:textFill>
        </w:rPr>
        <w:t>天津大学福州国际联合学院</w:t>
      </w:r>
      <w:r>
        <w:rPr>
          <w:rFonts w:hint="eastAsia" w:ascii="宋体" w:hAnsi="宋体" w:cs="宋体"/>
          <w:color w:val="000000" w:themeColor="text1"/>
          <w:shd w:val="clear" w:color="auto" w:fill="FFFFFF"/>
          <w14:textFill>
            <w14:solidFill>
              <w14:schemeClr w14:val="tx1"/>
            </w14:solidFill>
          </w14:textFill>
        </w:rPr>
        <w:t>已根据采购相关法律法规，经相应程序确定采用</w:t>
      </w:r>
      <w:r>
        <w:rPr>
          <w:rFonts w:hint="eastAsia" w:ascii="宋体" w:hAnsi="宋体" w:cs="宋体"/>
          <w:color w:val="000000" w:themeColor="text1"/>
          <w:u w:val="single"/>
          <w:shd w:val="clear" w:color="auto" w:fill="FFFFFF"/>
          <w14:textFill>
            <w14:solidFill>
              <w14:schemeClr w14:val="tx1"/>
            </w14:solidFill>
          </w14:textFill>
        </w:rPr>
        <w:t>竞争性磋商</w:t>
      </w:r>
      <w:r>
        <w:rPr>
          <w:rFonts w:hint="eastAsia" w:ascii="宋体" w:hAnsi="宋体" w:cs="宋体"/>
          <w:color w:val="000000" w:themeColor="text1"/>
          <w:shd w:val="clear" w:color="auto" w:fill="FFFFFF"/>
          <w14:textFill>
            <w14:solidFill>
              <w14:schemeClr w14:val="tx1"/>
            </w14:solidFill>
          </w14:textFill>
        </w:rPr>
        <w:t>方式组织</w:t>
      </w:r>
      <w:r>
        <w:rPr>
          <w:rFonts w:hint="eastAsia" w:ascii="宋体" w:hAnsi="宋体" w:cs="宋体"/>
          <w:color w:val="000000" w:themeColor="text1"/>
          <w:u w:val="single"/>
          <w:shd w:val="clear" w:color="auto" w:fill="FFFFFF"/>
          <w14:textFill>
            <w14:solidFill>
              <w14:schemeClr w14:val="tx1"/>
            </w14:solidFill>
          </w14:textFill>
        </w:rPr>
        <w:t>天津大学福州国际联合学院2023-2024年招标代理遴选</w:t>
      </w:r>
      <w:r>
        <w:rPr>
          <w:rFonts w:hint="eastAsia" w:ascii="宋体" w:hAnsi="宋体" w:cs="宋体"/>
          <w:color w:val="000000" w:themeColor="text1"/>
          <w:shd w:val="clear" w:color="auto" w:fill="FFFFFF"/>
          <w14:textFill>
            <w14:solidFill>
              <w14:schemeClr w14:val="tx1"/>
            </w14:solidFill>
          </w14:textFill>
        </w:rPr>
        <w:t>(以下简称：“本项目”)的采购活动，现欢迎国内合格的供应商前来参加。本项目由采购人委托</w:t>
      </w:r>
      <w:r>
        <w:rPr>
          <w:rFonts w:hint="eastAsia" w:ascii="宋体" w:hAnsi="宋体" w:cs="宋体"/>
          <w:color w:val="000000" w:themeColor="text1"/>
          <w:u w:val="single"/>
          <w:shd w:val="clear" w:color="auto" w:fill="FFFFFF"/>
          <w14:textFill>
            <w14:solidFill>
              <w14:schemeClr w14:val="tx1"/>
            </w14:solidFill>
          </w14:textFill>
        </w:rPr>
        <w:t>福建康泰招标有限公司</w:t>
      </w:r>
      <w:r>
        <w:rPr>
          <w:rFonts w:hint="eastAsia" w:ascii="宋体" w:hAnsi="宋体" w:cs="宋体"/>
          <w:color w:val="000000" w:themeColor="text1"/>
          <w:shd w:val="clear" w:color="auto" w:fill="FFFFFF"/>
          <w14:textFill>
            <w14:solidFill>
              <w14:schemeClr w14:val="tx1"/>
            </w14:solidFill>
          </w14:textFill>
        </w:rPr>
        <w:t>开展竞争性磋商活动。</w:t>
      </w:r>
    </w:p>
    <w:p>
      <w:pPr>
        <w:pStyle w:val="18"/>
        <w:widowControl/>
        <w:adjustRightInd w:val="0"/>
        <w:snapToGrid w:val="0"/>
        <w:spacing w:beforeAutospacing="0" w:afterAutospacing="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1.项目名称：天津大学福州国际联合学院2023-2024年招标代理遴选</w:t>
      </w:r>
    </w:p>
    <w:p>
      <w:pPr>
        <w:pStyle w:val="18"/>
        <w:widowControl/>
        <w:adjustRightInd w:val="0"/>
        <w:snapToGrid w:val="0"/>
        <w:spacing w:beforeAutospacing="0" w:afterAutospacing="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2.项目编号：KTZBCS-2023109</w:t>
      </w:r>
    </w:p>
    <w:p>
      <w:pPr>
        <w:pStyle w:val="18"/>
        <w:widowControl/>
        <w:adjustRightInd w:val="0"/>
        <w:snapToGrid w:val="0"/>
        <w:spacing w:beforeAutospacing="0" w:afterAutospacing="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3.采购内容及要求：</w:t>
      </w:r>
    </w:p>
    <w:p>
      <w:pPr>
        <w:pStyle w:val="18"/>
        <w:widowControl/>
        <w:spacing w:beforeAutospacing="0" w:afterAutospacing="0" w:line="360" w:lineRule="auto"/>
        <w:ind w:right="-362" w:firstLine="480" w:firstLineChars="200"/>
        <w:jc w:val="both"/>
        <w:rPr>
          <w:rFonts w:ascii="宋体" w:hAnsi="宋体" w:cs="宋体"/>
          <w:lang w:bidi="ar"/>
        </w:rPr>
      </w:pPr>
      <w:r>
        <w:rPr>
          <w:rFonts w:hint="eastAsia" w:ascii="宋体" w:hAnsi="宋体" w:cs="宋体"/>
          <w:color w:val="000000" w:themeColor="text1"/>
          <w14:textFill>
            <w14:solidFill>
              <w14:schemeClr w14:val="tx1"/>
            </w14:solidFill>
          </w14:textFill>
        </w:rPr>
        <w:t xml:space="preserve">采购标的一览表                                     </w:t>
      </w:r>
      <w:r>
        <w:rPr>
          <w:rFonts w:hint="eastAsia" w:ascii="宋体" w:hAnsi="宋体" w:cs="宋体"/>
          <w:lang w:bidi="ar"/>
        </w:rPr>
        <w:t>金额单位：人民币元</w:t>
      </w:r>
    </w:p>
    <w:tbl>
      <w:tblPr>
        <w:tblStyle w:val="21"/>
        <w:tblW w:w="881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88"/>
        <w:gridCol w:w="1719"/>
        <w:gridCol w:w="251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56" w:type="dxa"/>
            <w:vAlign w:val="center"/>
          </w:tcPr>
          <w:p>
            <w:pPr>
              <w:shd w:val="clear" w:color="auto" w:fill="FFFFFF"/>
              <w:tabs>
                <w:tab w:val="center" w:pos="4500"/>
                <w:tab w:val="left" w:pos="7050"/>
              </w:tabs>
              <w:spacing w:line="400" w:lineRule="atLeast"/>
              <w:jc w:val="center"/>
              <w:outlineLvl w:val="0"/>
              <w:rPr>
                <w:rFonts w:ascii="宋体" w:hAnsi="宋体"/>
                <w:sz w:val="24"/>
              </w:rPr>
            </w:pPr>
            <w:bookmarkStart w:id="1" w:name="_Toc8395"/>
            <w:r>
              <w:rPr>
                <w:rFonts w:hint="eastAsia" w:ascii="宋体" w:hAnsi="宋体"/>
                <w:sz w:val="24"/>
              </w:rPr>
              <w:t>合同包</w:t>
            </w:r>
            <w:bookmarkEnd w:id="1"/>
          </w:p>
        </w:tc>
        <w:tc>
          <w:tcPr>
            <w:tcW w:w="2088" w:type="dxa"/>
            <w:vAlign w:val="center"/>
          </w:tcPr>
          <w:p>
            <w:pPr>
              <w:pStyle w:val="10"/>
              <w:shd w:val="clear" w:color="auto" w:fill="FFFFFF"/>
              <w:spacing w:line="400" w:lineRule="atLeast"/>
              <w:jc w:val="center"/>
              <w:outlineLvl w:val="0"/>
              <w:rPr>
                <w:rFonts w:hAnsi="宋体"/>
                <w:sz w:val="24"/>
                <w:szCs w:val="24"/>
              </w:rPr>
            </w:pPr>
            <w:bookmarkStart w:id="2" w:name="_Toc9003"/>
            <w:r>
              <w:rPr>
                <w:rFonts w:hint="eastAsia" w:hAnsi="宋体"/>
                <w:sz w:val="24"/>
                <w:szCs w:val="24"/>
              </w:rPr>
              <w:t>采购标的</w:t>
            </w:r>
            <w:bookmarkEnd w:id="2"/>
          </w:p>
        </w:tc>
        <w:tc>
          <w:tcPr>
            <w:tcW w:w="1719" w:type="dxa"/>
            <w:vAlign w:val="center"/>
          </w:tcPr>
          <w:p>
            <w:pPr>
              <w:pStyle w:val="10"/>
              <w:shd w:val="clear" w:color="auto" w:fill="FFFFFF"/>
              <w:spacing w:line="400" w:lineRule="atLeast"/>
              <w:jc w:val="center"/>
              <w:outlineLvl w:val="0"/>
              <w:rPr>
                <w:rFonts w:hAnsi="宋体"/>
                <w:sz w:val="24"/>
                <w:szCs w:val="24"/>
              </w:rPr>
            </w:pPr>
            <w:bookmarkStart w:id="3" w:name="_Toc18263"/>
            <w:r>
              <w:rPr>
                <w:rFonts w:hint="eastAsia" w:hAnsi="宋体"/>
                <w:sz w:val="24"/>
                <w:szCs w:val="24"/>
              </w:rPr>
              <w:t>主要服务要求</w:t>
            </w:r>
            <w:bookmarkEnd w:id="3"/>
          </w:p>
        </w:tc>
        <w:tc>
          <w:tcPr>
            <w:tcW w:w="2516" w:type="dxa"/>
            <w:vAlign w:val="center"/>
          </w:tcPr>
          <w:p>
            <w:pPr>
              <w:pStyle w:val="10"/>
              <w:shd w:val="clear" w:color="auto" w:fill="FFFFFF"/>
              <w:spacing w:line="400" w:lineRule="atLeast"/>
              <w:jc w:val="center"/>
              <w:outlineLvl w:val="0"/>
              <w:rPr>
                <w:rFonts w:hAnsi="宋体"/>
                <w:sz w:val="24"/>
                <w:szCs w:val="24"/>
              </w:rPr>
            </w:pPr>
            <w:bookmarkStart w:id="4" w:name="_Toc31066"/>
            <w:r>
              <w:rPr>
                <w:rFonts w:hint="eastAsia" w:hAnsi="宋体"/>
                <w:sz w:val="24"/>
                <w:szCs w:val="24"/>
              </w:rPr>
              <w:t>入围有效期</w:t>
            </w:r>
            <w:bookmarkEnd w:id="4"/>
          </w:p>
        </w:tc>
        <w:tc>
          <w:tcPr>
            <w:tcW w:w="1736" w:type="dxa"/>
            <w:vAlign w:val="center"/>
          </w:tcPr>
          <w:p>
            <w:pPr>
              <w:pStyle w:val="10"/>
              <w:shd w:val="clear" w:color="auto" w:fill="FFFFFF"/>
              <w:spacing w:line="400" w:lineRule="atLeast"/>
              <w:jc w:val="center"/>
              <w:outlineLvl w:val="0"/>
              <w:rPr>
                <w:rFonts w:hAnsi="宋体"/>
                <w:sz w:val="24"/>
                <w:szCs w:val="24"/>
              </w:rPr>
            </w:pPr>
            <w:bookmarkStart w:id="5" w:name="_Toc26217"/>
            <w:r>
              <w:rPr>
                <w:rFonts w:hint="eastAsia" w:hAnsi="宋体"/>
                <w:sz w:val="24"/>
                <w:szCs w:val="24"/>
              </w:rPr>
              <w:t>磋商保证金</w:t>
            </w:r>
            <w:bookmarkEnd w:id="5"/>
          </w:p>
          <w:p>
            <w:pPr>
              <w:pStyle w:val="10"/>
              <w:shd w:val="clear" w:color="auto" w:fill="FFFFFF"/>
              <w:spacing w:line="400" w:lineRule="atLeast"/>
              <w:outlineLvl w:val="0"/>
              <w:rPr>
                <w:rFonts w:hAnsi="宋体"/>
                <w:sz w:val="24"/>
                <w:szCs w:val="24"/>
              </w:rPr>
            </w:pPr>
            <w:bookmarkStart w:id="6" w:name="_Toc14819"/>
            <w:r>
              <w:rPr>
                <w:rFonts w:hint="eastAsia" w:hAnsi="宋体"/>
                <w:sz w:val="24"/>
                <w:szCs w:val="24"/>
              </w:rPr>
              <w:t>（人民币：元）</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6" w:type="dxa"/>
            <w:vAlign w:val="center"/>
          </w:tcPr>
          <w:p>
            <w:pPr>
              <w:shd w:val="clear" w:color="auto" w:fill="FFFFFF"/>
              <w:tabs>
                <w:tab w:val="center" w:pos="4500"/>
                <w:tab w:val="left" w:pos="7050"/>
              </w:tabs>
              <w:spacing w:line="400" w:lineRule="atLeast"/>
              <w:jc w:val="center"/>
              <w:outlineLvl w:val="0"/>
              <w:rPr>
                <w:rFonts w:ascii="宋体" w:hAnsi="宋体"/>
                <w:sz w:val="24"/>
              </w:rPr>
            </w:pPr>
            <w:bookmarkStart w:id="7" w:name="_Toc17327"/>
            <w:r>
              <w:rPr>
                <w:rFonts w:hint="eastAsia" w:ascii="宋体" w:hAnsi="宋体"/>
                <w:sz w:val="24"/>
              </w:rPr>
              <w:t>1</w:t>
            </w:r>
            <w:bookmarkEnd w:id="7"/>
          </w:p>
        </w:tc>
        <w:tc>
          <w:tcPr>
            <w:tcW w:w="2088" w:type="dxa"/>
            <w:vAlign w:val="center"/>
          </w:tcPr>
          <w:p>
            <w:pPr>
              <w:shd w:val="clear" w:color="auto" w:fill="FFFFFF"/>
              <w:tabs>
                <w:tab w:val="center" w:pos="4500"/>
                <w:tab w:val="left" w:pos="7050"/>
              </w:tabs>
              <w:spacing w:line="400" w:lineRule="atLeast"/>
              <w:jc w:val="center"/>
              <w:outlineLvl w:val="0"/>
              <w:rPr>
                <w:rFonts w:ascii="宋体" w:hAnsi="宋体"/>
                <w:sz w:val="24"/>
              </w:rPr>
            </w:pPr>
            <w:r>
              <w:rPr>
                <w:rFonts w:hint="eastAsia" w:ascii="宋体" w:hAnsi="宋体"/>
                <w:kern w:val="0"/>
                <w:sz w:val="24"/>
              </w:rPr>
              <w:t>天津大学福州国际联合学院2023-2024年招标代理遴选</w:t>
            </w:r>
          </w:p>
        </w:tc>
        <w:tc>
          <w:tcPr>
            <w:tcW w:w="1719" w:type="dxa"/>
            <w:vAlign w:val="center"/>
          </w:tcPr>
          <w:p>
            <w:pPr>
              <w:shd w:val="clear" w:color="auto" w:fill="FFFFFF"/>
              <w:tabs>
                <w:tab w:val="center" w:pos="4500"/>
                <w:tab w:val="left" w:pos="7050"/>
              </w:tabs>
              <w:spacing w:line="400" w:lineRule="atLeast"/>
              <w:jc w:val="center"/>
              <w:outlineLvl w:val="0"/>
              <w:rPr>
                <w:rFonts w:ascii="宋体" w:hAnsi="宋体"/>
                <w:sz w:val="24"/>
              </w:rPr>
            </w:pPr>
            <w:bookmarkStart w:id="8" w:name="_Toc25180"/>
            <w:r>
              <w:rPr>
                <w:rFonts w:hint="eastAsia" w:ascii="宋体" w:hAnsi="宋体"/>
                <w:sz w:val="24"/>
              </w:rPr>
              <w:t>详见</w:t>
            </w:r>
            <w:bookmarkEnd w:id="8"/>
            <w:r>
              <w:rPr>
                <w:rFonts w:hint="eastAsia" w:ascii="宋体" w:hAnsi="宋体"/>
                <w:sz w:val="24"/>
              </w:rPr>
              <w:t>第三章  采购内容及要求</w:t>
            </w:r>
          </w:p>
        </w:tc>
        <w:tc>
          <w:tcPr>
            <w:tcW w:w="2516" w:type="dxa"/>
            <w:vAlign w:val="center"/>
          </w:tcPr>
          <w:p>
            <w:pPr>
              <w:shd w:val="clear" w:color="auto" w:fill="FFFFFF"/>
              <w:tabs>
                <w:tab w:val="center" w:pos="4500"/>
                <w:tab w:val="left" w:pos="7050"/>
              </w:tabs>
              <w:spacing w:line="400" w:lineRule="atLeast"/>
              <w:jc w:val="center"/>
              <w:outlineLvl w:val="0"/>
              <w:rPr>
                <w:rFonts w:ascii="宋体" w:hAnsi="宋体"/>
                <w:sz w:val="24"/>
              </w:rPr>
            </w:pPr>
            <w:r>
              <w:rPr>
                <w:rFonts w:hint="eastAsia" w:ascii="宋体" w:hAnsi="宋体"/>
                <w:sz w:val="24"/>
              </w:rPr>
              <w:t>合同签订之日起至2024年12月31日，如遇特殊情况，适当延长或调整服务期限</w:t>
            </w:r>
            <w:r>
              <w:rPr>
                <w:rFonts w:hint="eastAsia" w:ascii="宋体" w:hAnsi="宋体" w:cs="宋体"/>
                <w:kern w:val="0"/>
                <w:sz w:val="24"/>
              </w:rPr>
              <w:t>。</w:t>
            </w:r>
          </w:p>
        </w:tc>
        <w:tc>
          <w:tcPr>
            <w:tcW w:w="1736" w:type="dxa"/>
            <w:vAlign w:val="center"/>
          </w:tcPr>
          <w:p>
            <w:pPr>
              <w:shd w:val="clear" w:color="auto" w:fill="FFFFFF"/>
              <w:tabs>
                <w:tab w:val="center" w:pos="4500"/>
                <w:tab w:val="left" w:pos="7050"/>
              </w:tabs>
              <w:spacing w:line="400" w:lineRule="atLeast"/>
              <w:jc w:val="center"/>
              <w:outlineLvl w:val="0"/>
              <w:rPr>
                <w:rFonts w:ascii="宋体" w:hAnsi="宋体"/>
                <w:sz w:val="24"/>
              </w:rPr>
            </w:pPr>
            <w:bookmarkStart w:id="9" w:name="_Toc4084"/>
            <w:r>
              <w:rPr>
                <w:rFonts w:hint="eastAsia" w:ascii="宋体" w:hAnsi="宋体"/>
                <w:sz w:val="24"/>
              </w:rPr>
              <w:t>3000元</w:t>
            </w:r>
            <w:bookmarkEnd w:id="9"/>
          </w:p>
        </w:tc>
      </w:tr>
    </w:tbl>
    <w:p>
      <w:pPr>
        <w:pStyle w:val="18"/>
        <w:widowControl/>
        <w:adjustRightInd w:val="0"/>
        <w:snapToGrid w:val="0"/>
        <w:spacing w:beforeAutospacing="0" w:afterAutospacing="0" w:line="50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4.采购方式：竞争性磋商</w:t>
      </w:r>
    </w:p>
    <w:p>
      <w:pPr>
        <w:pStyle w:val="18"/>
        <w:widowControl/>
        <w:adjustRightInd w:val="0"/>
        <w:snapToGrid w:val="0"/>
        <w:spacing w:beforeAutospacing="0" w:afterAutospacing="0" w:line="50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5.供应商的资格要求：</w:t>
      </w:r>
    </w:p>
    <w:p>
      <w:pPr>
        <w:pStyle w:val="18"/>
        <w:widowControl/>
        <w:adjustRightInd w:val="0"/>
        <w:snapToGrid w:val="0"/>
        <w:spacing w:beforeAutospacing="0" w:afterAutospacing="0" w:line="500" w:lineRule="exact"/>
        <w:ind w:firstLine="480" w:firstLineChars="200"/>
        <w:rPr>
          <w:rFonts w:ascii="宋体" w:hAnsi="宋体"/>
        </w:rPr>
      </w:pPr>
      <w:r>
        <w:rPr>
          <w:rFonts w:hint="eastAsia" w:ascii="宋体" w:hAnsi="宋体"/>
        </w:rPr>
        <w:t>（1）</w:t>
      </w:r>
      <w:r>
        <w:rPr>
          <w:rFonts w:ascii="宋体" w:hAnsi="宋体"/>
        </w:rPr>
        <w:t>单位负责人授权书（若有）</w:t>
      </w:r>
      <w:r>
        <w:rPr>
          <w:rFonts w:hint="eastAsia" w:ascii="宋体" w:hAnsi="宋体"/>
        </w:rPr>
        <w:t>；</w:t>
      </w:r>
    </w:p>
    <w:p>
      <w:pPr>
        <w:pStyle w:val="18"/>
        <w:widowControl/>
        <w:adjustRightInd w:val="0"/>
        <w:snapToGrid w:val="0"/>
        <w:spacing w:beforeAutospacing="0" w:afterAutospacing="0" w:line="500" w:lineRule="exact"/>
        <w:ind w:firstLine="480" w:firstLineChars="200"/>
        <w:rPr>
          <w:rFonts w:ascii="宋体" w:hAnsi="宋体"/>
        </w:rPr>
      </w:pPr>
      <w:r>
        <w:rPr>
          <w:rFonts w:hint="eastAsia" w:ascii="宋体" w:hAnsi="宋体"/>
        </w:rPr>
        <w:t>（2）</w:t>
      </w:r>
      <w:r>
        <w:rPr>
          <w:rFonts w:ascii="宋体" w:hAnsi="宋体"/>
        </w:rPr>
        <w:t>营业执照等证明文件</w:t>
      </w:r>
      <w:r>
        <w:rPr>
          <w:rFonts w:hint="eastAsia" w:ascii="宋体" w:hAnsi="宋体"/>
        </w:rPr>
        <w:t>；</w:t>
      </w:r>
    </w:p>
    <w:p>
      <w:pPr>
        <w:pStyle w:val="18"/>
        <w:widowControl/>
        <w:adjustRightInd w:val="0"/>
        <w:snapToGrid w:val="0"/>
        <w:spacing w:beforeAutospacing="0" w:afterAutospacing="0" w:line="500" w:lineRule="exact"/>
        <w:ind w:firstLine="480" w:firstLineChars="200"/>
        <w:rPr>
          <w:rFonts w:ascii="宋体" w:hAnsi="宋体"/>
        </w:rPr>
      </w:pPr>
      <w:r>
        <w:rPr>
          <w:rFonts w:hint="eastAsia" w:ascii="宋体" w:hAnsi="宋体"/>
        </w:rPr>
        <w:t>（3）</w:t>
      </w:r>
      <w:r>
        <w:rPr>
          <w:rFonts w:ascii="宋体" w:hAnsi="宋体"/>
        </w:rPr>
        <w:t>财务状况报告（财务报告或资信证明）</w:t>
      </w:r>
      <w:r>
        <w:rPr>
          <w:rFonts w:hint="eastAsia" w:ascii="宋体" w:hAnsi="宋体"/>
        </w:rPr>
        <w:t>；</w:t>
      </w:r>
    </w:p>
    <w:p>
      <w:pPr>
        <w:pStyle w:val="18"/>
        <w:widowControl/>
        <w:adjustRightInd w:val="0"/>
        <w:snapToGrid w:val="0"/>
        <w:spacing w:beforeAutospacing="0" w:afterAutospacing="0" w:line="500" w:lineRule="exact"/>
        <w:ind w:firstLine="480" w:firstLineChars="200"/>
        <w:rPr>
          <w:rFonts w:ascii="宋体" w:hAnsi="宋体"/>
        </w:rPr>
      </w:pPr>
      <w:r>
        <w:rPr>
          <w:rFonts w:hint="eastAsia" w:ascii="宋体" w:hAnsi="宋体"/>
        </w:rPr>
        <w:t>（4）</w:t>
      </w:r>
      <w:r>
        <w:rPr>
          <w:rFonts w:ascii="宋体" w:hAnsi="宋体"/>
        </w:rPr>
        <w:t>依法缴纳税收证明材料</w:t>
      </w:r>
      <w:r>
        <w:rPr>
          <w:rFonts w:hint="eastAsia" w:ascii="宋体" w:hAnsi="宋体"/>
        </w:rPr>
        <w:t>；</w:t>
      </w:r>
    </w:p>
    <w:p>
      <w:pPr>
        <w:pStyle w:val="18"/>
        <w:widowControl/>
        <w:adjustRightInd w:val="0"/>
        <w:snapToGrid w:val="0"/>
        <w:spacing w:beforeAutospacing="0" w:afterAutospacing="0" w:line="500" w:lineRule="exact"/>
        <w:ind w:firstLine="480" w:firstLineChars="200"/>
        <w:rPr>
          <w:rFonts w:ascii="宋体" w:hAnsi="宋体"/>
        </w:rPr>
      </w:pPr>
      <w:r>
        <w:rPr>
          <w:rFonts w:hint="eastAsia" w:ascii="宋体" w:hAnsi="宋体"/>
        </w:rPr>
        <w:t>（5）</w:t>
      </w:r>
      <w:r>
        <w:rPr>
          <w:rFonts w:ascii="宋体" w:hAnsi="宋体"/>
        </w:rPr>
        <w:t>依法缴纳社会保障资金证明材料</w:t>
      </w:r>
      <w:r>
        <w:rPr>
          <w:rFonts w:hint="eastAsia" w:ascii="宋体" w:hAnsi="宋体"/>
        </w:rPr>
        <w:t>；</w:t>
      </w:r>
    </w:p>
    <w:p>
      <w:pPr>
        <w:pStyle w:val="18"/>
        <w:widowControl/>
        <w:adjustRightInd w:val="0"/>
        <w:snapToGrid w:val="0"/>
        <w:spacing w:beforeAutospacing="0" w:afterAutospacing="0" w:line="500" w:lineRule="exact"/>
        <w:ind w:firstLine="480" w:firstLineChars="200"/>
        <w:rPr>
          <w:rFonts w:ascii="宋体" w:hAnsi="宋体"/>
        </w:rPr>
      </w:pPr>
      <w:r>
        <w:rPr>
          <w:rFonts w:hint="eastAsia" w:ascii="宋体" w:hAnsi="宋体"/>
        </w:rPr>
        <w:t>（6）具备履行合同所必需的设备和专业技术能力的证明材料；</w:t>
      </w:r>
    </w:p>
    <w:p>
      <w:pPr>
        <w:pStyle w:val="18"/>
        <w:widowControl/>
        <w:adjustRightInd w:val="0"/>
        <w:snapToGrid w:val="0"/>
        <w:spacing w:beforeAutospacing="0" w:afterAutospacing="0" w:line="500" w:lineRule="exact"/>
        <w:ind w:firstLine="480" w:firstLineChars="200"/>
        <w:rPr>
          <w:rFonts w:ascii="宋体" w:hAnsi="宋体"/>
        </w:rPr>
      </w:pPr>
      <w:r>
        <w:rPr>
          <w:rFonts w:hint="eastAsia" w:ascii="宋体" w:hAnsi="宋体"/>
        </w:rPr>
        <w:t>（7）供应商参加采购活动前3年内在经营活动中没有重大违法记录的书面声明；</w:t>
      </w:r>
    </w:p>
    <w:p>
      <w:pPr>
        <w:pStyle w:val="18"/>
        <w:widowControl/>
        <w:adjustRightInd w:val="0"/>
        <w:snapToGrid w:val="0"/>
        <w:spacing w:beforeAutospacing="0" w:afterAutospacing="0" w:line="500" w:lineRule="exact"/>
        <w:ind w:firstLine="480" w:firstLineChars="200"/>
        <w:rPr>
          <w:rFonts w:ascii="宋体" w:hAnsi="宋体"/>
        </w:rPr>
      </w:pPr>
      <w:r>
        <w:rPr>
          <w:rFonts w:hint="eastAsia" w:ascii="宋体" w:hAnsi="宋体"/>
        </w:rPr>
        <w:t>（8）</w:t>
      </w:r>
      <w:r>
        <w:rPr>
          <w:rFonts w:ascii="宋体" w:hAnsi="宋体"/>
        </w:rPr>
        <w:t>信用记录查询结果</w:t>
      </w:r>
      <w:r>
        <w:rPr>
          <w:rFonts w:hint="eastAsia" w:ascii="宋体" w:hAnsi="宋体"/>
        </w:rPr>
        <w:t>；</w:t>
      </w:r>
    </w:p>
    <w:p>
      <w:pPr>
        <w:pStyle w:val="18"/>
        <w:widowControl/>
        <w:adjustRightInd w:val="0"/>
        <w:snapToGrid w:val="0"/>
        <w:spacing w:beforeAutospacing="0" w:afterAutospacing="0" w:line="50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rPr>
        <w:t>（9）</w:t>
      </w:r>
      <w:r>
        <w:rPr>
          <w:rFonts w:hint="eastAsia" w:ascii="宋体" w:hAnsi="宋体" w:cs="宋体"/>
          <w:color w:val="000000" w:themeColor="text1"/>
          <w:shd w:val="clear" w:color="auto" w:fill="FFFFFF"/>
          <w14:textFill>
            <w14:solidFill>
              <w14:schemeClr w14:val="tx1"/>
            </w14:solidFill>
          </w14:textFill>
        </w:rPr>
        <w:t>本项目不接受联合体形式的响应磋商。</w:t>
      </w:r>
    </w:p>
    <w:p>
      <w:pPr>
        <w:pStyle w:val="18"/>
        <w:widowControl/>
        <w:adjustRightInd w:val="0"/>
        <w:snapToGrid w:val="0"/>
        <w:spacing w:beforeAutospacing="0" w:afterAutospacing="0" w:line="50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注：</w:t>
      </w:r>
      <w:r>
        <w:rPr>
          <w:rFonts w:hint="eastAsia" w:ascii="宋体" w:hAnsi="宋体" w:cs="宋体"/>
          <w:color w:val="000000" w:themeColor="text1"/>
          <w:shd w:val="clear" w:color="auto" w:fill="FFFFFF"/>
          <w14:textFill>
            <w14:solidFill>
              <w14:schemeClr w14:val="tx1"/>
            </w14:solidFill>
          </w14:textFill>
        </w:rPr>
        <w:t>具体证明材料详见竞争性磋商文件《</w:t>
      </w:r>
      <w:r>
        <w:rPr>
          <w:rStyle w:val="24"/>
          <w:rFonts w:hint="eastAsia" w:ascii="宋体" w:hAnsi="宋体" w:cs="宋体"/>
          <w:color w:val="000000" w:themeColor="text1"/>
          <w:shd w:val="clear" w:color="auto" w:fill="FFFFFF"/>
          <w14:textFill>
            <w14:solidFill>
              <w14:schemeClr w14:val="tx1"/>
            </w14:solidFill>
          </w14:textFill>
        </w:rPr>
        <w:t>第1节 竞争性磋商须知前附表</w:t>
      </w:r>
      <w:r>
        <w:rPr>
          <w:rFonts w:hint="eastAsia" w:ascii="宋体" w:hAnsi="宋体" w:cs="宋体"/>
          <w:color w:val="000000" w:themeColor="text1"/>
          <w:shd w:val="clear" w:color="auto" w:fill="FFFFFF"/>
          <w14:textFill>
            <w14:solidFill>
              <w14:schemeClr w14:val="tx1"/>
            </w14:solidFill>
          </w14:textFill>
        </w:rPr>
        <w:t>》</w:t>
      </w:r>
      <w:r>
        <w:rPr>
          <w:rFonts w:hint="eastAsia" w:ascii="宋体" w:hAnsi="宋体" w:cs="宋体"/>
          <w:color w:val="000000" w:themeColor="text1"/>
          <w14:textFill>
            <w14:solidFill>
              <w14:schemeClr w14:val="tx1"/>
            </w14:solidFill>
          </w14:textFill>
        </w:rPr>
        <w:t>3.2.1资格证明文件资料要求。</w:t>
      </w:r>
    </w:p>
    <w:p>
      <w:pPr>
        <w:pStyle w:val="18"/>
        <w:widowControl/>
        <w:adjustRightInd w:val="0"/>
        <w:snapToGrid w:val="0"/>
        <w:spacing w:beforeAutospacing="0" w:afterAutospacing="0" w:line="500" w:lineRule="exact"/>
        <w:ind w:firstLine="482" w:firstLineChars="20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※根据上述资格要求，供应商响应文件中应提交的“资格证明文件”相关规定和资料要求，详见竞争性磋商须知前附表和磋商文件第五章。</w:t>
      </w:r>
    </w:p>
    <w:p>
      <w:pPr>
        <w:pStyle w:val="18"/>
        <w:widowControl/>
        <w:adjustRightInd w:val="0"/>
        <w:snapToGrid w:val="0"/>
        <w:spacing w:beforeAutospacing="0" w:afterAutospacing="0" w:line="50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6.获取采购文件时间、地点、方式：</w:t>
      </w:r>
    </w:p>
    <w:p>
      <w:pPr>
        <w:pStyle w:val="18"/>
        <w:widowControl/>
        <w:adjustRightInd w:val="0"/>
        <w:snapToGrid w:val="0"/>
        <w:spacing w:beforeAutospacing="0" w:afterAutospacing="0"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6.1</w:t>
      </w:r>
      <w:r>
        <w:rPr>
          <w:rFonts w:hint="eastAsia" w:ascii="宋体" w:hAnsi="宋体"/>
          <w:szCs w:val="21"/>
        </w:rPr>
        <w:t>磋商文件（采购文件）获取时间</w:t>
      </w:r>
      <w:r>
        <w:rPr>
          <w:rFonts w:hint="eastAsia" w:ascii="宋体" w:hAnsi="宋体" w:cs="宋体"/>
          <w:color w:val="000000" w:themeColor="text1"/>
          <w:shd w:val="clear" w:color="auto" w:fill="FFFFFF"/>
          <w14:textFill>
            <w14:solidFill>
              <w14:schemeClr w14:val="tx1"/>
            </w14:solidFill>
          </w14:textFill>
        </w:rPr>
        <w:t>：2023年</w:t>
      </w:r>
      <w:r>
        <w:rPr>
          <w:rFonts w:hint="eastAsia" w:ascii="宋体" w:hAnsi="宋体" w:cs="宋体"/>
          <w:color w:val="000000" w:themeColor="text1"/>
          <w:shd w:val="clear" w:color="auto" w:fill="FFFFFF"/>
          <w:lang w:val="en-US" w:eastAsia="zh-CN"/>
          <w14:textFill>
            <w14:solidFill>
              <w14:schemeClr w14:val="tx1"/>
            </w14:solidFill>
          </w14:textFill>
        </w:rPr>
        <w:t>7</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shd w:val="clear" w:color="auto" w:fill="FFFFFF"/>
          <w:lang w:val="en-US" w:eastAsia="zh-CN"/>
          <w14:textFill>
            <w14:solidFill>
              <w14:schemeClr w14:val="tx1"/>
            </w14:solidFill>
          </w14:textFill>
        </w:rPr>
        <w:t>18</w:t>
      </w:r>
      <w:r>
        <w:rPr>
          <w:rFonts w:hint="eastAsia" w:ascii="宋体" w:hAnsi="宋体" w:cs="宋体"/>
          <w:color w:val="000000" w:themeColor="text1"/>
          <w:shd w:val="clear" w:color="auto" w:fill="FFFFFF"/>
          <w14:textFill>
            <w14:solidFill>
              <w14:schemeClr w14:val="tx1"/>
            </w14:solidFill>
          </w14:textFill>
        </w:rPr>
        <w:t>日至2023年</w:t>
      </w:r>
      <w:r>
        <w:rPr>
          <w:rFonts w:hint="eastAsia" w:ascii="宋体" w:hAnsi="宋体" w:cs="宋体"/>
          <w:color w:val="000000" w:themeColor="text1"/>
          <w:shd w:val="clear" w:color="auto" w:fill="FFFFFF"/>
          <w:lang w:val="en-US" w:eastAsia="zh-CN"/>
          <w14:textFill>
            <w14:solidFill>
              <w14:schemeClr w14:val="tx1"/>
            </w14:solidFill>
          </w14:textFill>
        </w:rPr>
        <w:t>7</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shd w:val="clear" w:color="auto" w:fill="FFFFFF"/>
          <w:lang w:val="en-US" w:eastAsia="zh-CN"/>
          <w14:textFill>
            <w14:solidFill>
              <w14:schemeClr w14:val="tx1"/>
            </w14:solidFill>
          </w14:textFill>
        </w:rPr>
        <w:t>25</w:t>
      </w:r>
      <w:r>
        <w:rPr>
          <w:rFonts w:hint="eastAsia" w:ascii="宋体" w:hAnsi="宋体" w:cs="宋体"/>
          <w:color w:val="000000" w:themeColor="text1"/>
          <w:shd w:val="clear" w:color="auto" w:fill="FFFFFF"/>
          <w14:textFill>
            <w14:solidFill>
              <w14:schemeClr w14:val="tx1"/>
            </w14:solidFill>
          </w14:textFill>
        </w:rPr>
        <w:t>日，每天上午8:30至12:00，下午15:00至18:00(北京时间，法定节假日除外)。</w:t>
      </w:r>
    </w:p>
    <w:p>
      <w:pPr>
        <w:pStyle w:val="18"/>
        <w:widowControl/>
        <w:adjustRightInd w:val="0"/>
        <w:snapToGrid w:val="0"/>
        <w:spacing w:beforeAutospacing="0" w:afterAutospacing="0" w:line="50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6.2获取地点：福建康泰招标有限公司(</w:t>
      </w:r>
      <w:r>
        <w:rPr>
          <w:rFonts w:hint="eastAsia" w:ascii="宋体" w:hAnsi="宋体"/>
        </w:rPr>
        <w:t>福州市鼓楼区湖东路169号中闽天骜大厦13层财务室</w:t>
      </w:r>
      <w:r>
        <w:rPr>
          <w:rFonts w:hint="eastAsia" w:ascii="宋体" w:hAnsi="宋体" w:cs="宋体"/>
          <w:color w:val="000000" w:themeColor="text1"/>
          <w:shd w:val="clear" w:color="auto" w:fill="FFFFFF"/>
          <w14:textFill>
            <w14:solidFill>
              <w14:schemeClr w14:val="tx1"/>
            </w14:solidFill>
          </w14:textFill>
        </w:rPr>
        <w:t>)。</w:t>
      </w:r>
    </w:p>
    <w:p>
      <w:pPr>
        <w:pStyle w:val="18"/>
        <w:widowControl/>
        <w:adjustRightInd w:val="0"/>
        <w:snapToGrid w:val="0"/>
        <w:spacing w:beforeAutospacing="0" w:afterAutospacing="0" w:line="50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6.3如果采购过程中有发出更正公告，采购人将根据实际情况确定是否延长</w:t>
      </w:r>
      <w:r>
        <w:rPr>
          <w:rFonts w:hint="eastAsia" w:ascii="宋体" w:hAnsi="宋体"/>
          <w:szCs w:val="21"/>
        </w:rPr>
        <w:t>磋商文件（采购文件）获取时间</w:t>
      </w:r>
      <w:r>
        <w:rPr>
          <w:rFonts w:hint="eastAsia" w:ascii="宋体" w:hAnsi="宋体" w:cs="宋体"/>
          <w:color w:val="000000" w:themeColor="text1"/>
          <w:shd w:val="clear" w:color="auto" w:fill="FFFFFF"/>
          <w14:textFill>
            <w14:solidFill>
              <w14:schemeClr w14:val="tx1"/>
            </w14:solidFill>
          </w14:textFill>
        </w:rPr>
        <w:t>，则</w:t>
      </w:r>
      <w:r>
        <w:rPr>
          <w:rFonts w:hint="eastAsia" w:ascii="宋体" w:hAnsi="宋体"/>
          <w:szCs w:val="21"/>
        </w:rPr>
        <w:t>磋商文件（采购文件）获取时间</w:t>
      </w:r>
      <w:r>
        <w:rPr>
          <w:rFonts w:hint="eastAsia" w:ascii="宋体" w:hAnsi="宋体" w:cs="宋体"/>
          <w:color w:val="000000" w:themeColor="text1"/>
          <w:shd w:val="clear" w:color="auto" w:fill="FFFFFF"/>
          <w14:textFill>
            <w14:solidFill>
              <w14:schemeClr w14:val="tx1"/>
            </w14:solidFill>
          </w14:textFill>
        </w:rPr>
        <w:t>以更正公告中的约定为准。</w:t>
      </w:r>
    </w:p>
    <w:p>
      <w:pPr>
        <w:pStyle w:val="18"/>
        <w:widowControl/>
        <w:adjustRightInd w:val="0"/>
        <w:snapToGrid w:val="0"/>
        <w:spacing w:beforeAutospacing="0" w:afterAutospacing="0" w:line="500" w:lineRule="exact"/>
        <w:ind w:firstLine="480"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6.4获取方式：</w:t>
      </w:r>
      <w:r>
        <w:rPr>
          <w:rFonts w:hint="eastAsia" w:ascii="宋体" w:hAnsi="宋体"/>
        </w:rPr>
        <w:t>可现场购买或通过电子邮件购买竞争性磋商文件。（1）现场获取：到磋商公告列明的获取文件地点现场获取，并填写《招标文件购买登记表》；（2）邮件获取：①通过电子邮件获取磋商文件的潜在供应商须填写《招标文件购买登记表》（详见磋商公告附件）；②按磋商公告规定的磋商文件售价电汇或转账相应的金额到采购代理机构账户，同时将电汇或转账底单复印件及《招标文件购买登记表》填写清楚并加盖供应商公章发送至电子信箱（2785972036@qq.com）。</w:t>
      </w:r>
    </w:p>
    <w:p>
      <w:pPr>
        <w:pStyle w:val="18"/>
        <w:widowControl/>
        <w:adjustRightInd w:val="0"/>
        <w:snapToGrid w:val="0"/>
        <w:spacing w:beforeAutospacing="0" w:afterAutospacing="0"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7.采购文件售价：300元人民币（电子文档或纸质文档），如需邮寄另加50元人民币特快专递费，售后不退。</w:t>
      </w:r>
    </w:p>
    <w:p>
      <w:pPr>
        <w:pStyle w:val="18"/>
        <w:widowControl/>
        <w:adjustRightInd w:val="0"/>
        <w:snapToGrid w:val="0"/>
        <w:spacing w:beforeAutospacing="0" w:afterAutospacing="0" w:line="50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8.首次响应文件递交截止时间及地点：2023年</w:t>
      </w:r>
      <w:r>
        <w:rPr>
          <w:rFonts w:hint="eastAsia" w:ascii="宋体" w:hAnsi="宋体" w:cs="宋体"/>
          <w:color w:val="000000" w:themeColor="text1"/>
          <w:shd w:val="clear" w:color="auto" w:fill="FFFFFF"/>
          <w:lang w:val="en-US" w:eastAsia="zh-CN"/>
          <w14:textFill>
            <w14:solidFill>
              <w14:schemeClr w14:val="tx1"/>
            </w14:solidFill>
          </w14:textFill>
        </w:rPr>
        <w:t>7</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shd w:val="clear" w:color="auto" w:fill="FFFFFF"/>
          <w:lang w:val="en-US" w:eastAsia="zh-CN"/>
          <w14:textFill>
            <w14:solidFill>
              <w14:schemeClr w14:val="tx1"/>
            </w14:solidFill>
          </w14:textFill>
        </w:rPr>
        <w:t>31</w:t>
      </w:r>
      <w:r>
        <w:rPr>
          <w:rFonts w:hint="eastAsia" w:ascii="宋体" w:hAnsi="宋体" w:cs="宋体"/>
          <w:color w:val="000000" w:themeColor="text1"/>
          <w:shd w:val="clear" w:color="auto" w:fill="FFFFFF"/>
          <w14:textFill>
            <w14:solidFill>
              <w14:schemeClr w14:val="tx1"/>
            </w14:solidFill>
          </w14:textFill>
        </w:rPr>
        <w:t>日09点00分</w:t>
      </w:r>
      <w:r>
        <w:rPr>
          <w:rFonts w:hint="eastAsia" w:ascii="宋体" w:hAnsi="宋体" w:cs="宋体"/>
          <w:color w:val="000000" w:themeColor="text1"/>
          <w14:textFill>
            <w14:solidFill>
              <w14:schemeClr w14:val="tx1"/>
            </w14:solidFill>
          </w14:textFill>
        </w:rPr>
        <w:t>(北京时间)</w:t>
      </w:r>
      <w:r>
        <w:rPr>
          <w:rFonts w:hint="eastAsia" w:ascii="宋体" w:hAnsi="宋体" w:cs="宋体"/>
          <w:color w:val="000000" w:themeColor="text1"/>
          <w:shd w:val="clear" w:color="auto" w:fill="FFFFFF"/>
          <w14:textFill>
            <w14:solidFill>
              <w14:schemeClr w14:val="tx1"/>
            </w14:solidFill>
          </w14:textFill>
        </w:rPr>
        <w:t>。供应商应在此之前将密封的首次响应文件送达福建康泰招标有限公司开标大厅(福州市鼓楼区湖东路169号中闽天骜大厦13层)，逾期送达的或不符合规定的响应文件将被拒绝接收。</w:t>
      </w:r>
    </w:p>
    <w:p>
      <w:pPr>
        <w:pStyle w:val="18"/>
        <w:widowControl/>
        <w:adjustRightInd w:val="0"/>
        <w:snapToGrid w:val="0"/>
        <w:spacing w:beforeAutospacing="0" w:afterAutospacing="0" w:line="50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9.磋商时间及地点：</w:t>
      </w:r>
    </w:p>
    <w:p>
      <w:pPr>
        <w:pStyle w:val="18"/>
        <w:widowControl/>
        <w:adjustRightInd w:val="0"/>
        <w:snapToGrid w:val="0"/>
        <w:spacing w:beforeAutospacing="0" w:afterAutospacing="0"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时间：2023年</w:t>
      </w:r>
      <w:r>
        <w:rPr>
          <w:rFonts w:hint="eastAsia" w:ascii="宋体" w:hAnsi="宋体" w:cs="宋体"/>
          <w:color w:val="000000" w:themeColor="text1"/>
          <w:shd w:val="clear" w:color="auto" w:fill="FFFFFF"/>
          <w:lang w:val="en-US" w:eastAsia="zh-CN"/>
          <w14:textFill>
            <w14:solidFill>
              <w14:schemeClr w14:val="tx1"/>
            </w14:solidFill>
          </w14:textFill>
        </w:rPr>
        <w:t>7</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shd w:val="clear" w:color="auto" w:fill="FFFFFF"/>
          <w:lang w:val="en-US" w:eastAsia="zh-CN"/>
          <w14:textFill>
            <w14:solidFill>
              <w14:schemeClr w14:val="tx1"/>
            </w14:solidFill>
          </w14:textFill>
        </w:rPr>
        <w:t>31</w:t>
      </w:r>
      <w:bookmarkStart w:id="45" w:name="_GoBack"/>
      <w:bookmarkEnd w:id="45"/>
      <w:r>
        <w:rPr>
          <w:rFonts w:hint="eastAsia" w:ascii="宋体" w:hAnsi="宋体" w:cs="宋体"/>
          <w:color w:val="000000" w:themeColor="text1"/>
          <w:shd w:val="clear" w:color="auto" w:fill="FFFFFF"/>
          <w14:textFill>
            <w14:solidFill>
              <w14:schemeClr w14:val="tx1"/>
            </w14:solidFill>
          </w14:textFill>
        </w:rPr>
        <w:t>日09点00分</w:t>
      </w:r>
      <w:r>
        <w:rPr>
          <w:rFonts w:hint="eastAsia" w:ascii="宋体" w:hAnsi="宋体" w:cs="宋体"/>
          <w:color w:val="000000" w:themeColor="text1"/>
          <w14:textFill>
            <w14:solidFill>
              <w14:schemeClr w14:val="tx1"/>
            </w14:solidFill>
          </w14:textFill>
        </w:rPr>
        <w:t>(北京时间)；</w:t>
      </w:r>
    </w:p>
    <w:p>
      <w:pPr>
        <w:pStyle w:val="18"/>
        <w:widowControl/>
        <w:adjustRightInd w:val="0"/>
        <w:snapToGrid w:val="0"/>
        <w:spacing w:beforeAutospacing="0" w:afterAutospacing="0"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地点：</w:t>
      </w:r>
      <w:r>
        <w:rPr>
          <w:rFonts w:hint="eastAsia" w:ascii="宋体" w:hAnsi="宋体" w:cs="宋体"/>
          <w:color w:val="000000" w:themeColor="text1"/>
          <w:shd w:val="clear" w:color="auto" w:fill="FFFFFF"/>
          <w14:textFill>
            <w14:solidFill>
              <w14:schemeClr w14:val="tx1"/>
            </w14:solidFill>
          </w14:textFill>
        </w:rPr>
        <w:t>福建康泰招标有限公司(福州市鼓楼区湖东路169号中闽天骜大厦13层)。</w:t>
      </w:r>
    </w:p>
    <w:p>
      <w:pPr>
        <w:pStyle w:val="18"/>
        <w:widowControl/>
        <w:adjustRightInd w:val="0"/>
        <w:snapToGrid w:val="0"/>
        <w:spacing w:beforeAutospacing="0" w:afterAutospacing="0" w:line="500" w:lineRule="exact"/>
        <w:ind w:firstLine="480" w:firstLineChars="200"/>
        <w:rPr>
          <w:rFonts w:ascii="宋体" w:hAnsi="宋体" w:cs="宋体"/>
          <w:shd w:val="clear" w:color="auto" w:fill="FFFFFF"/>
        </w:rPr>
      </w:pPr>
      <w:r>
        <w:rPr>
          <w:rFonts w:hint="eastAsia" w:ascii="宋体" w:hAnsi="宋体" w:cs="宋体"/>
          <w:shd w:val="clear" w:color="auto" w:fill="FFFFFF"/>
        </w:rPr>
        <w:t>10.竞争性磋商公告期限：自公告发布之日起3个工作日。</w:t>
      </w:r>
    </w:p>
    <w:p>
      <w:pPr>
        <w:pStyle w:val="18"/>
        <w:widowControl/>
        <w:adjustRightInd w:val="0"/>
        <w:snapToGrid w:val="0"/>
        <w:spacing w:beforeAutospacing="0" w:afterAutospacing="0" w:line="500" w:lineRule="exact"/>
        <w:ind w:firstLine="480" w:firstLineChars="200"/>
        <w:rPr>
          <w:rFonts w:ascii="宋体" w:hAnsi="宋体" w:cs="宋体"/>
          <w:shd w:val="clear" w:color="auto" w:fill="FFFFFF"/>
        </w:rPr>
      </w:pPr>
      <w:r>
        <w:rPr>
          <w:rFonts w:hint="eastAsia" w:ascii="宋体" w:hAnsi="宋体" w:cs="宋体"/>
          <w:shd w:val="clear" w:color="auto" w:fill="FFFFFF"/>
        </w:rPr>
        <w:t xml:space="preserve">11.采购人联系方式 </w:t>
      </w:r>
    </w:p>
    <w:p>
      <w:pPr>
        <w:pStyle w:val="18"/>
        <w:widowControl/>
        <w:adjustRightInd w:val="0"/>
        <w:snapToGrid w:val="0"/>
        <w:spacing w:beforeAutospacing="0" w:afterAutospacing="0" w:line="500" w:lineRule="exact"/>
        <w:ind w:firstLine="480" w:firstLineChars="200"/>
        <w:rPr>
          <w:rFonts w:ascii="宋体" w:hAnsi="宋体" w:cs="宋体"/>
        </w:rPr>
      </w:pPr>
      <w:r>
        <w:rPr>
          <w:rFonts w:hint="eastAsia" w:ascii="宋体" w:hAnsi="宋体" w:cs="宋体"/>
          <w:shd w:val="clear" w:color="auto" w:fill="FFFFFF"/>
        </w:rPr>
        <w:t>采购人：</w:t>
      </w:r>
      <w:r>
        <w:rPr>
          <w:rFonts w:hint="eastAsia" w:ascii="宋体" w:hAnsi="宋体" w:cs="宋体"/>
          <w:u w:val="single"/>
          <w:shd w:val="clear" w:color="auto" w:fill="FFFFFF"/>
        </w:rPr>
        <w:t>天津大学福州国际联合学院</w:t>
      </w:r>
    </w:p>
    <w:p>
      <w:pPr>
        <w:pStyle w:val="18"/>
        <w:widowControl/>
        <w:adjustRightInd w:val="0"/>
        <w:snapToGrid w:val="0"/>
        <w:spacing w:beforeAutospacing="0" w:afterAutospacing="0" w:line="500" w:lineRule="exact"/>
        <w:ind w:firstLine="480" w:firstLineChars="200"/>
        <w:rPr>
          <w:rFonts w:ascii="宋体" w:hAnsi="宋体" w:cs="宋体"/>
          <w:shd w:val="clear" w:color="auto" w:fill="FFFFFF"/>
        </w:rPr>
      </w:pPr>
      <w:r>
        <w:rPr>
          <w:rFonts w:hint="eastAsia" w:ascii="宋体" w:hAnsi="宋体" w:cs="宋体"/>
          <w:shd w:val="clear" w:color="auto" w:fill="FFFFFF"/>
        </w:rPr>
        <w:t>地址：</w:t>
      </w:r>
      <w:r>
        <w:rPr>
          <w:rFonts w:hint="eastAsia" w:ascii="宋体" w:hAnsi="宋体" w:cs="宋体"/>
          <w:u w:val="single"/>
          <w:shd w:val="clear" w:color="auto" w:fill="FFFFFF"/>
        </w:rPr>
        <w:t>福建省福州市长乐区天津大学福州国际校区</w:t>
      </w:r>
    </w:p>
    <w:p>
      <w:pPr>
        <w:pStyle w:val="18"/>
        <w:widowControl/>
        <w:adjustRightInd w:val="0"/>
        <w:snapToGrid w:val="0"/>
        <w:spacing w:beforeAutospacing="0" w:afterAutospacing="0" w:line="500" w:lineRule="exact"/>
        <w:ind w:firstLine="480" w:firstLineChars="200"/>
        <w:rPr>
          <w:rFonts w:ascii="宋体" w:hAnsi="宋体" w:cs="宋体"/>
          <w:u w:val="single"/>
        </w:rPr>
      </w:pPr>
      <w:r>
        <w:rPr>
          <w:rFonts w:hint="eastAsia" w:ascii="宋体" w:hAnsi="宋体" w:cs="宋体"/>
          <w:shd w:val="clear" w:color="auto" w:fill="FFFFFF"/>
        </w:rPr>
        <w:t>联系人：</w:t>
      </w:r>
      <w:r>
        <w:rPr>
          <w:rFonts w:hint="eastAsia" w:ascii="宋体" w:hAnsi="宋体" w:cs="宋体"/>
          <w:u w:val="single"/>
        </w:rPr>
        <w:t>林新颖</w:t>
      </w:r>
    </w:p>
    <w:p>
      <w:pPr>
        <w:pStyle w:val="18"/>
        <w:widowControl/>
        <w:adjustRightInd w:val="0"/>
        <w:snapToGrid w:val="0"/>
        <w:spacing w:beforeAutospacing="0" w:afterAutospacing="0" w:line="500" w:lineRule="exact"/>
        <w:ind w:firstLine="480" w:firstLineChars="200"/>
        <w:rPr>
          <w:rFonts w:ascii="宋体" w:hAnsi="宋体" w:cs="宋体"/>
          <w:u w:val="single"/>
          <w:shd w:val="clear" w:color="auto" w:fill="FFFFFF"/>
        </w:rPr>
      </w:pPr>
      <w:r>
        <w:rPr>
          <w:rFonts w:hint="eastAsia" w:ascii="宋体" w:hAnsi="宋体" w:cs="宋体"/>
          <w:shd w:val="clear" w:color="auto" w:fill="FFFFFF"/>
        </w:rPr>
        <w:t>联系方式：</w:t>
      </w:r>
      <w:r>
        <w:rPr>
          <w:rFonts w:ascii="宋体" w:hAnsi="宋体" w:cs="宋体"/>
          <w:u w:val="single"/>
          <w:shd w:val="clear" w:color="auto" w:fill="FFFFFF"/>
        </w:rPr>
        <w:t>0591-62602687</w:t>
      </w:r>
    </w:p>
    <w:p>
      <w:pPr>
        <w:pStyle w:val="18"/>
        <w:widowControl/>
        <w:adjustRightInd w:val="0"/>
        <w:snapToGrid w:val="0"/>
        <w:spacing w:beforeAutospacing="0" w:afterAutospacing="0" w:line="500" w:lineRule="exact"/>
        <w:ind w:firstLine="480" w:firstLineChars="200"/>
        <w:rPr>
          <w:rFonts w:ascii="宋体" w:hAnsi="宋体" w:cs="宋体"/>
          <w:shd w:val="clear" w:color="auto" w:fill="FFFFFF"/>
        </w:rPr>
      </w:pPr>
      <w:r>
        <w:rPr>
          <w:rFonts w:hint="eastAsia" w:ascii="宋体" w:hAnsi="宋体" w:cs="宋体"/>
          <w:shd w:val="clear" w:color="auto" w:fill="FFFFFF"/>
        </w:rPr>
        <w:t>12.采购代理机构联系方式</w:t>
      </w:r>
    </w:p>
    <w:p>
      <w:pPr>
        <w:spacing w:line="360" w:lineRule="auto"/>
        <w:ind w:firstLine="480" w:firstLineChars="200"/>
        <w:rPr>
          <w:rFonts w:ascii="宋体" w:hAnsi="宋体" w:cs="宋体"/>
          <w:sz w:val="24"/>
          <w:u w:val="single"/>
        </w:rPr>
      </w:pPr>
      <w:r>
        <w:rPr>
          <w:rFonts w:hint="eastAsia" w:ascii="宋体" w:hAnsi="宋体" w:cs="宋体"/>
          <w:sz w:val="24"/>
        </w:rPr>
        <w:t>采购代理机构：</w:t>
      </w:r>
      <w:r>
        <w:rPr>
          <w:rFonts w:hint="eastAsia" w:ascii="宋体" w:hAnsi="宋体" w:cs="宋体"/>
          <w:sz w:val="24"/>
          <w:u w:val="single"/>
        </w:rPr>
        <w:t xml:space="preserve"> 福建康泰招标有限公司  </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福州市鼓楼区湖东路169号中闽天骜大厦13层</w:t>
      </w:r>
    </w:p>
    <w:p>
      <w:pPr>
        <w:tabs>
          <w:tab w:val="left" w:pos="3615"/>
        </w:tabs>
        <w:spacing w:line="360" w:lineRule="auto"/>
        <w:ind w:firstLine="480" w:firstLineChars="200"/>
        <w:rPr>
          <w:rFonts w:ascii="宋体" w:hAnsi="宋体" w:cs="宋体"/>
          <w:sz w:val="24"/>
        </w:rPr>
      </w:pPr>
      <w:r>
        <w:rPr>
          <w:rFonts w:hint="eastAsia" w:ascii="宋体" w:hAnsi="宋体" w:cs="宋体"/>
          <w:sz w:val="24"/>
        </w:rPr>
        <w:t>邮  编：</w:t>
      </w:r>
      <w:r>
        <w:rPr>
          <w:rFonts w:hint="eastAsia" w:ascii="宋体" w:hAnsi="宋体" w:cs="宋体"/>
          <w:sz w:val="24"/>
          <w:u w:val="single"/>
        </w:rPr>
        <w:t xml:space="preserve">         350001       </w:t>
      </w:r>
      <w:r>
        <w:rPr>
          <w:rFonts w:hint="eastAsia" w:ascii="宋体" w:hAnsi="宋体" w:cs="宋体"/>
          <w:sz w:val="24"/>
          <w:u w:val="single"/>
        </w:rPr>
        <w:tab/>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0591-87803505      </w:t>
      </w:r>
    </w:p>
    <w:p>
      <w:pPr>
        <w:spacing w:line="360" w:lineRule="auto"/>
        <w:ind w:firstLine="480" w:firstLineChars="200"/>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0591-87112226      </w:t>
      </w:r>
    </w:p>
    <w:p>
      <w:pPr>
        <w:spacing w:line="360" w:lineRule="auto"/>
        <w:ind w:firstLine="480" w:firstLineChars="200"/>
        <w:rPr>
          <w:rFonts w:ascii="宋体" w:hAnsi="宋体"/>
          <w:sz w:val="24"/>
          <w:u w:val="single"/>
        </w:rPr>
      </w:pPr>
      <w:r>
        <w:rPr>
          <w:rFonts w:hint="eastAsia" w:ascii="宋体" w:hAnsi="宋体"/>
          <w:sz w:val="24"/>
        </w:rPr>
        <w:t>项目联系人：</w:t>
      </w:r>
      <w:r>
        <w:rPr>
          <w:rFonts w:hint="eastAsia" w:ascii="宋体" w:hAnsi="宋体"/>
          <w:sz w:val="24"/>
          <w:u w:val="single"/>
        </w:rPr>
        <w:t xml:space="preserve">樊淑贞、陈东英  0591-87803505 </w:t>
      </w:r>
      <w:r>
        <w:rPr>
          <w:rFonts w:hint="eastAsia" w:ascii="宋体" w:hAnsi="宋体" w:cs="宋体"/>
          <w:sz w:val="24"/>
          <w:u w:val="single"/>
        </w:rPr>
        <w:t>转805</w:t>
      </w:r>
      <w:r>
        <w:rPr>
          <w:rFonts w:hint="eastAsia" w:ascii="宋体" w:hAnsi="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报名事宜联系方式：</w:t>
      </w:r>
      <w:r>
        <w:rPr>
          <w:rFonts w:hint="eastAsia" w:ascii="宋体" w:hAnsi="宋体" w:cs="宋体"/>
          <w:sz w:val="24"/>
          <w:u w:val="single"/>
        </w:rPr>
        <w:t xml:space="preserve">许女士 0591-87803505转818  </w:t>
      </w:r>
      <w:r>
        <w:rPr>
          <w:rFonts w:hint="eastAsia" w:ascii="宋体" w:hAnsi="宋体" w:cs="宋体"/>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保证金事宜联系方式：</w:t>
      </w:r>
      <w:r>
        <w:rPr>
          <w:rFonts w:hint="eastAsia" w:ascii="宋体" w:hAnsi="宋体" w:cs="宋体"/>
          <w:sz w:val="24"/>
          <w:u w:val="single"/>
        </w:rPr>
        <w:t xml:space="preserve">洪女士 0591-87803505转807  </w:t>
      </w:r>
    </w:p>
    <w:p>
      <w:pPr>
        <w:pStyle w:val="2"/>
        <w:spacing w:line="360" w:lineRule="auto"/>
        <w:ind w:firstLine="480" w:firstLineChars="200"/>
      </w:pPr>
      <w:r>
        <w:rPr>
          <w:rFonts w:hint="eastAsia" w:ascii="宋体" w:hAnsi="宋体" w:cs="宋体"/>
          <w:sz w:val="24"/>
        </w:rPr>
        <w:t>电子信箱：</w:t>
      </w:r>
      <w:r>
        <w:rPr>
          <w:rFonts w:hint="eastAsia" w:ascii="宋体" w:hAnsi="宋体" w:cs="宋体"/>
          <w:sz w:val="24"/>
          <w:u w:val="single"/>
        </w:rPr>
        <w:t xml:space="preserve">  2785972036@qq.com</w:t>
      </w:r>
    </w:p>
    <w:p>
      <w:pPr>
        <w:widowControl/>
        <w:spacing w:line="500" w:lineRule="exact"/>
        <w:ind w:firstLine="480" w:firstLineChars="200"/>
        <w:rPr>
          <w:rFonts w:ascii="宋体" w:hAnsi="宋体" w:cs="宋体"/>
          <w:sz w:val="24"/>
        </w:rPr>
      </w:pPr>
      <w:r>
        <w:rPr>
          <w:rFonts w:hint="eastAsia" w:ascii="宋体" w:hAnsi="宋体" w:cs="宋体"/>
          <w:sz w:val="24"/>
        </w:rPr>
        <w:t>13.报名费及磋商保证金缴交银行账号</w:t>
      </w:r>
    </w:p>
    <w:p>
      <w:pPr>
        <w:tabs>
          <w:tab w:val="left" w:pos="4144"/>
        </w:tabs>
        <w:spacing w:line="500" w:lineRule="exact"/>
        <w:ind w:firstLine="480" w:firstLineChars="200"/>
        <w:rPr>
          <w:rFonts w:ascii="宋体" w:hAnsi="宋体" w:cs="宋体"/>
          <w:sz w:val="24"/>
        </w:rPr>
      </w:pPr>
      <w:r>
        <w:rPr>
          <w:rFonts w:hint="eastAsia" w:ascii="宋体" w:hAnsi="宋体" w:cs="宋体"/>
          <w:sz w:val="24"/>
        </w:rPr>
        <w:t>开户名：</w:t>
      </w:r>
      <w:r>
        <w:rPr>
          <w:rFonts w:hint="eastAsia" w:ascii="宋体" w:hAnsi="宋体" w:cs="宋体"/>
          <w:sz w:val="24"/>
          <w:u w:val="single"/>
        </w:rPr>
        <w:t xml:space="preserve"> 福建康泰招标有限公司      </w:t>
      </w:r>
    </w:p>
    <w:p>
      <w:pPr>
        <w:tabs>
          <w:tab w:val="left" w:pos="4144"/>
        </w:tabs>
        <w:spacing w:line="500" w:lineRule="exact"/>
        <w:ind w:firstLine="480" w:firstLineChars="200"/>
        <w:rPr>
          <w:rFonts w:ascii="宋体" w:hAnsi="宋体" w:cs="宋体"/>
          <w:sz w:val="24"/>
          <w:u w:val="single"/>
        </w:rPr>
      </w:pPr>
      <w:r>
        <w:rPr>
          <w:rFonts w:hint="eastAsia" w:ascii="宋体" w:hAnsi="宋体" w:cs="宋体"/>
          <w:sz w:val="24"/>
        </w:rPr>
        <w:t>开户行：</w:t>
      </w:r>
      <w:r>
        <w:rPr>
          <w:rFonts w:hint="eastAsia" w:ascii="宋体" w:hAnsi="宋体" w:cs="宋体"/>
          <w:sz w:val="24"/>
          <w:u w:val="single"/>
        </w:rPr>
        <w:t xml:space="preserve"> 恒丰银行股份有限公司福州分行营业部  </w:t>
      </w:r>
    </w:p>
    <w:p>
      <w:pPr>
        <w:tabs>
          <w:tab w:val="left" w:pos="4144"/>
        </w:tabs>
        <w:spacing w:line="500" w:lineRule="exact"/>
        <w:ind w:firstLine="480" w:firstLineChars="200"/>
        <w:rPr>
          <w:rFonts w:ascii="宋体" w:hAnsi="宋体" w:cs="宋体"/>
          <w:sz w:val="24"/>
        </w:rPr>
      </w:pPr>
      <w:r>
        <w:rPr>
          <w:rFonts w:hint="eastAsia" w:ascii="宋体" w:hAnsi="宋体" w:cs="宋体"/>
          <w:sz w:val="24"/>
        </w:rPr>
        <w:t>账  号：</w:t>
      </w:r>
      <w:r>
        <w:rPr>
          <w:rFonts w:hint="eastAsia" w:ascii="宋体" w:hAnsi="宋体" w:cs="宋体"/>
          <w:sz w:val="24"/>
          <w:u w:val="single"/>
        </w:rPr>
        <w:t xml:space="preserve"> 35050101100100000019  </w:t>
      </w:r>
    </w:p>
    <w:p>
      <w:pPr>
        <w:tabs>
          <w:tab w:val="left" w:pos="4144"/>
        </w:tabs>
        <w:spacing w:line="500" w:lineRule="exact"/>
        <w:ind w:firstLine="480" w:firstLineChars="200"/>
        <w:rPr>
          <w:rFonts w:ascii="宋体" w:hAnsi="宋体" w:cs="宋体"/>
          <w:sz w:val="24"/>
        </w:rPr>
      </w:pPr>
      <w:r>
        <w:rPr>
          <w:rFonts w:hint="eastAsia" w:ascii="宋体" w:hAnsi="宋体" w:cs="宋体"/>
          <w:sz w:val="24"/>
        </w:rPr>
        <w:t>14.招标代理服务费缴交银行账号</w:t>
      </w:r>
    </w:p>
    <w:p>
      <w:pPr>
        <w:tabs>
          <w:tab w:val="left" w:pos="4144"/>
        </w:tabs>
        <w:spacing w:line="500" w:lineRule="exact"/>
        <w:ind w:firstLine="480" w:firstLineChars="200"/>
        <w:rPr>
          <w:rFonts w:ascii="宋体" w:hAnsi="宋体" w:cs="宋体"/>
          <w:sz w:val="24"/>
        </w:rPr>
      </w:pPr>
      <w:r>
        <w:rPr>
          <w:rFonts w:hint="eastAsia" w:ascii="宋体" w:hAnsi="宋体" w:cs="宋体"/>
          <w:sz w:val="24"/>
        </w:rPr>
        <w:t>开户名：</w:t>
      </w:r>
      <w:r>
        <w:rPr>
          <w:rFonts w:hint="eastAsia" w:ascii="宋体" w:hAnsi="宋体" w:cs="宋体"/>
          <w:sz w:val="24"/>
          <w:u w:val="single"/>
        </w:rPr>
        <w:t xml:space="preserve"> 福建康泰招标有限公司   </w:t>
      </w:r>
    </w:p>
    <w:p>
      <w:pPr>
        <w:tabs>
          <w:tab w:val="left" w:pos="4144"/>
        </w:tabs>
        <w:spacing w:line="500" w:lineRule="exact"/>
        <w:ind w:firstLine="480" w:firstLineChars="200"/>
        <w:rPr>
          <w:rFonts w:ascii="宋体" w:hAnsi="宋体" w:cs="宋体"/>
          <w:sz w:val="24"/>
          <w:u w:val="single"/>
        </w:rPr>
      </w:pPr>
      <w:r>
        <w:rPr>
          <w:rFonts w:hint="eastAsia" w:ascii="宋体" w:hAnsi="宋体" w:cs="宋体"/>
          <w:sz w:val="24"/>
        </w:rPr>
        <w:t>开户行：</w:t>
      </w:r>
      <w:r>
        <w:rPr>
          <w:rFonts w:hint="eastAsia" w:ascii="宋体" w:hAnsi="宋体" w:cs="宋体"/>
          <w:sz w:val="24"/>
          <w:u w:val="single"/>
        </w:rPr>
        <w:t xml:space="preserve"> 中信银行福州江滨路支行 </w:t>
      </w:r>
    </w:p>
    <w:p>
      <w:pPr>
        <w:tabs>
          <w:tab w:val="left" w:pos="4144"/>
        </w:tabs>
        <w:spacing w:line="500" w:lineRule="exact"/>
        <w:ind w:firstLine="480" w:firstLineChars="200"/>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 7612110182600018475    </w:t>
      </w:r>
    </w:p>
    <w:p>
      <w:pPr>
        <w:tabs>
          <w:tab w:val="left" w:pos="4144"/>
        </w:tabs>
        <w:spacing w:line="500" w:lineRule="exact"/>
        <w:ind w:firstLine="480" w:firstLineChars="200"/>
        <w:rPr>
          <w:rFonts w:ascii="宋体" w:hAnsi="宋体"/>
          <w:sz w:val="24"/>
        </w:rPr>
      </w:pPr>
      <w:r>
        <w:rPr>
          <w:rFonts w:hint="eastAsia" w:ascii="宋体" w:hAnsi="宋体"/>
          <w:sz w:val="24"/>
        </w:rPr>
        <w:t>特别提示：</w:t>
      </w:r>
    </w:p>
    <w:p>
      <w:pPr>
        <w:tabs>
          <w:tab w:val="left" w:pos="4144"/>
        </w:tabs>
        <w:spacing w:line="500" w:lineRule="exact"/>
        <w:ind w:firstLine="480" w:firstLineChars="200"/>
        <w:rPr>
          <w:rFonts w:ascii="宋体" w:hAnsi="宋体"/>
          <w:sz w:val="24"/>
        </w:rPr>
      </w:pPr>
      <w:r>
        <w:rPr>
          <w:rFonts w:hint="eastAsia" w:ascii="宋体" w:hAnsi="宋体"/>
          <w:sz w:val="24"/>
        </w:rPr>
        <w:t>1.供应商应认真审核缴交的银行账号，缴错账号而产生的一切后果由其自行承担。</w:t>
      </w:r>
    </w:p>
    <w:p>
      <w:pPr>
        <w:widowControl/>
        <w:spacing w:line="500" w:lineRule="exact"/>
        <w:ind w:firstLine="480" w:firstLineChars="200"/>
        <w:rPr>
          <w:rFonts w:ascii="宋体" w:hAnsi="宋体" w:cs="宋体"/>
          <w:b/>
          <w:bCs/>
          <w:sz w:val="36"/>
          <w:szCs w:val="36"/>
          <w:shd w:val="clear" w:color="auto" w:fill="FFFFFF"/>
        </w:rPr>
      </w:pPr>
      <w:r>
        <w:rPr>
          <w:rFonts w:hint="eastAsia" w:ascii="宋体" w:hAnsi="宋体"/>
          <w:sz w:val="24"/>
        </w:rPr>
        <w:t>2.转账单或电汇单上需注明“具体项目编号”及“合同包号”。</w:t>
      </w:r>
      <w:r>
        <w:rPr>
          <w:rFonts w:hint="eastAsia" w:ascii="宋体" w:hAnsi="宋体" w:cs="宋体"/>
          <w:color w:val="000000" w:themeColor="text1"/>
          <w:shd w:val="clear" w:color="auto" w:fill="FFFFFF"/>
          <w14:textFill>
            <w14:solidFill>
              <w14:schemeClr w14:val="tx1"/>
            </w14:solidFill>
          </w14:textFill>
        </w:rPr>
        <w:t> </w:t>
      </w:r>
      <w:bookmarkStart w:id="10" w:name="_Toc16872"/>
      <w:r>
        <w:rPr>
          <w:rFonts w:hint="eastAsia" w:ascii="宋体" w:hAnsi="宋体" w:cs="宋体"/>
          <w:b/>
          <w:bCs/>
          <w:sz w:val="36"/>
          <w:szCs w:val="36"/>
          <w:shd w:val="clear" w:color="auto" w:fill="FFFFFF"/>
        </w:rPr>
        <w:t xml:space="preserve">        </w:t>
      </w:r>
    </w:p>
    <w:p>
      <w:pPr>
        <w:pStyle w:val="11"/>
        <w:ind w:firstLine="2327" w:firstLineChars="644"/>
        <w:jc w:val="left"/>
        <w:rPr>
          <w:rFonts w:ascii="宋体" w:hAnsi="宋体" w:eastAsia="宋体" w:cs="宋体"/>
          <w:b/>
          <w:bCs/>
          <w:sz w:val="36"/>
          <w:szCs w:val="36"/>
          <w:shd w:val="clear" w:color="auto" w:fill="FFFFFF"/>
        </w:rPr>
      </w:pPr>
      <w:r>
        <w:rPr>
          <w:rFonts w:hint="eastAsia" w:ascii="宋体" w:hAnsi="宋体" w:eastAsia="宋体" w:cs="宋体"/>
          <w:b/>
          <w:bCs/>
          <w:sz w:val="36"/>
          <w:szCs w:val="36"/>
          <w:shd w:val="clear" w:color="auto" w:fill="FFFFFF"/>
        </w:rPr>
        <w:t>第二章  竞争性磋商须知</w:t>
      </w:r>
      <w:bookmarkEnd w:id="10"/>
    </w:p>
    <w:p>
      <w:pPr>
        <w:pStyle w:val="18"/>
        <w:widowControl/>
        <w:adjustRightInd w:val="0"/>
        <w:spacing w:before="75" w:beforeAutospacing="0" w:after="75" w:afterAutospacing="0" w:line="435" w:lineRule="atLeast"/>
        <w:jc w:val="center"/>
        <w:outlineLvl w:val="1"/>
        <w:rPr>
          <w:rFonts w:ascii="宋体" w:hAnsi="宋体" w:cs="宋体"/>
          <w:color w:val="000000" w:themeColor="text1"/>
          <w14:textFill>
            <w14:solidFill>
              <w14:schemeClr w14:val="tx1"/>
            </w14:solidFill>
          </w14:textFill>
        </w:rPr>
      </w:pPr>
      <w:bookmarkStart w:id="11" w:name="_Toc17868"/>
      <w:r>
        <w:rPr>
          <w:rStyle w:val="24"/>
          <w:rFonts w:hint="eastAsia" w:ascii="宋体" w:hAnsi="宋体" w:cs="宋体"/>
          <w:color w:val="000000" w:themeColor="text1"/>
          <w:shd w:val="clear" w:color="auto" w:fill="FFFFFF"/>
          <w14:textFill>
            <w14:solidFill>
              <w14:schemeClr w14:val="tx1"/>
            </w14:solidFill>
          </w14:textFill>
        </w:rPr>
        <w:t>第1节 竞争性磋商须知前附表</w:t>
      </w:r>
      <w:bookmarkEnd w:id="11"/>
    </w:p>
    <w:p>
      <w:pPr>
        <w:pStyle w:val="18"/>
        <w:widowControl/>
        <w:adjustRightInd w:val="0"/>
        <w:spacing w:before="75" w:beforeAutospacing="0" w:after="75" w:afterAutospacing="0" w:line="435" w:lineRule="atLeas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竞争性磋商须知前附表是对竞争性磋商须知的补充和细化，二者如有矛盾，以前附表中的要求和规定为准。</w:t>
      </w:r>
    </w:p>
    <w:tbl>
      <w:tblPr>
        <w:tblStyle w:val="21"/>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21"/>
        <w:gridCol w:w="99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项号</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条款号</w:t>
            </w: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43"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spacing w:before="76" w:beforeAutospacing="0" w:after="76" w:afterAutospacing="0"/>
              <w:ind w:left="-362" w:right="-36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w:t>
            </w: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供应商的资格要求</w:t>
            </w:r>
            <w:r>
              <w:rPr>
                <w:rFonts w:hint="eastAsia" w:ascii="宋体" w:hAnsi="宋体" w:cs="宋体"/>
                <w:color w:val="000000" w:themeColor="text1"/>
                <w14:textFill>
                  <w14:solidFill>
                    <w14:schemeClr w14:val="tx1"/>
                  </w14:solidFill>
                </w14:textFill>
              </w:rPr>
              <w:t>：见磋商文件第一章“采购公告/采购邀请书”</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资格证明文件资料要求：</w:t>
            </w:r>
          </w:p>
          <w:tbl>
            <w:tblPr>
              <w:tblStyle w:val="21"/>
              <w:tblW w:w="7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89"/>
              <w:gridCol w:w="5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blHeader/>
                <w:jc w:val="center"/>
              </w:trPr>
              <w:tc>
                <w:tcPr>
                  <w:tcW w:w="24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500" w:lineRule="exact"/>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明细</w:t>
                  </w:r>
                </w:p>
              </w:tc>
              <w:tc>
                <w:tcPr>
                  <w:tcW w:w="50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500" w:lineRule="exact"/>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5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a1投标函</w:t>
                  </w:r>
                </w:p>
              </w:tc>
              <w:tc>
                <w:tcPr>
                  <w:tcW w:w="509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5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按第五章格式提供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kern w:val="0"/>
                      <w:sz w:val="24"/>
                      <w:shd w:val="clear" w:color="auto" w:fill="FFFFFF"/>
                      <w14:textFill>
                        <w14:solidFill>
                          <w14:schemeClr w14:val="tx1"/>
                        </w14:solidFill>
                      </w14:textFill>
                    </w:rPr>
                    <w:t>2单位负责人授权书</w:t>
                  </w:r>
                </w:p>
              </w:tc>
              <w:tc>
                <w:tcPr>
                  <w:tcW w:w="509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1.企业（银行、保险、石油石化、电力、电信等行业除外）、事业单位和社会团体法人的“单位负责人”指法定代表人，即与实际提交的“营业执照等证明文件”载明的一致。</w:t>
                  </w:r>
                </w:p>
                <w:p>
                  <w:pPr>
                    <w:widowControl/>
                    <w:adjustRightInd w:val="0"/>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adjustRightInd w:val="0"/>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3.供应商：若供应商代表为单位负责人授权的委托代理人，应提供本授权书；若供应商代表为单位负责人，应在此项下提交其身份证正反面复印件，可不提供本授权书。</w:t>
                  </w:r>
                </w:p>
                <w:p>
                  <w:pPr>
                    <w:widowControl/>
                    <w:adjustRightInd w:val="0"/>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4.纸质响应文件正本中的本授权书（若有）应为原件。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5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a3营业执照</w:t>
                  </w:r>
                </w:p>
              </w:tc>
              <w:tc>
                <w:tcPr>
                  <w:tcW w:w="509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其他供应商应按照有关法律、法规和规章规定，提供有效的相应具体证照复印件。</w:t>
                  </w:r>
                </w:p>
                <w:p>
                  <w:pPr>
                    <w:widowControl/>
                    <w:adjustRightInd w:val="0"/>
                    <w:snapToGrid w:val="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2.供应商提供的相应证明材料复印件均应符合：内容完整、清晰、整洁，并由供应商加盖其单位公章。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3" w:hRule="atLeast"/>
                <w:jc w:val="center"/>
              </w:trPr>
              <w:tc>
                <w:tcPr>
                  <w:tcW w:w="24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5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a4财务状况报告</w:t>
                  </w:r>
                </w:p>
              </w:tc>
              <w:tc>
                <w:tcPr>
                  <w:tcW w:w="509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供的财务报告复印件（成立年限按照提交响应文件截止时间推算）应符合下列规定：1.1成立年限满1年及以上的供应商，提供经审计的2022年度的年度财务报告。1.2成立年限满半年但不足1年的供应商，提供该半年度中任一季度的季度财务报告或该半年度的半年度财务报告。1.3无法按照第1.1、1.2条规定提供财务报告复印件的供应商（包括但不限于：成立年限满1年及以上的供应商、成立年限满半年但不足1年的供应商、成立年限不足半年的供应商），应选择提供资信证明。</w:t>
                  </w:r>
                  <w:r>
                    <w:rPr>
                      <w:rFonts w:hint="eastAsia" w:ascii="宋体" w:hAnsi="宋体" w:cs="宋体"/>
                      <w:b/>
                      <w:bCs/>
                      <w:color w:val="000000" w:themeColor="text1"/>
                      <w:sz w:val="24"/>
                      <w14:textFill>
                        <w14:solidFill>
                          <w14:schemeClr w14:val="tx1"/>
                        </w14:solidFill>
                      </w14:textFill>
                    </w:rPr>
                    <w:t>注：《资信证明》若注明复印无效的需提供原件，否则视为未提供。</w:t>
                  </w:r>
                </w:p>
                <w:p>
                  <w:pPr>
                    <w:widowControl/>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2.供应商提供的相应证明材料均应符合：内容完整、清晰、整洁，并由供应商加盖其单位公章。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atLeast"/>
                <w:jc w:val="center"/>
              </w:trPr>
              <w:tc>
                <w:tcPr>
                  <w:tcW w:w="24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5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a5依法缴纳税收的相关材料</w:t>
                  </w:r>
                </w:p>
              </w:tc>
              <w:tc>
                <w:tcPr>
                  <w:tcW w:w="509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供的税收凭据复印件应符合下列规定：1.1提交响应文件截止时间前（不含提交响应文件截止时间的当月）已依法缴纳税收的供应商，提供提交响应文件截止时间前六个月（不含提交响应文件截止时间的当月）中任一月份的税收凭据复印件。1.2提交响应文件截止时间的当月成立且已依法缴纳税收的供应商，提供提交响应文件截止时间当月的税收凭据复印件。1.3提交响应文件截止时间的当月成立但因税务机关原因导致其尚未依法缴纳税收的供应商，提供依法缴纳税收承诺书原件（格式自拟），该承诺书视同税收凭据。</w:t>
                  </w:r>
                </w:p>
                <w:p>
                  <w:pPr>
                    <w:widowControl/>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2.“依法缴纳税收证明材料”有欠缴记录的，视为未依法缴纳税收。</w:t>
                  </w:r>
                </w:p>
                <w:p>
                  <w:pPr>
                    <w:widowControl/>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3.供应商提供的相应证明材料复印件均应符合：内容完整、清晰、整洁，并由供应商加盖其单位公章。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atLeast"/>
                <w:jc w:val="center"/>
              </w:trPr>
              <w:tc>
                <w:tcPr>
                  <w:tcW w:w="24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5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a6依法缴纳社会保障资金的相关材料</w:t>
                  </w:r>
                </w:p>
              </w:tc>
              <w:tc>
                <w:tcPr>
                  <w:tcW w:w="509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供的社会保险凭据复印件应符合下列规定：1.1提交响应文件截止时间前（不含提交响应文件截止时间的当月）已依法缴纳社会保障资金的供应商，提供提交响应文件截止时间前六个月（不含提交响应文件截止时间的当月）中任一月份的社会保险凭据复印件。1.2提交响应文件截止时间的当月成立且已依法缴纳社会保障资金的供应商，提供提交响应文件截止时间当月的社会保险凭据复印件。1.3提交响应文件截止时间的当月成立但因税务机关/社会保障资金管理机关原因导致其尚未依法缴纳社会保障资金的供应商，提供依法缴纳社会保障资金承诺书原件（格式自拟），该承诺书视同社会保险凭据。</w:t>
                  </w:r>
                </w:p>
                <w:p>
                  <w:pPr>
                    <w:widowControl/>
                    <w:adjustRightInd w:val="0"/>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2.“依法缴纳社会保障资金证明材料”有欠缴记录的，视为未依法缴纳社会保障资金。</w:t>
                  </w:r>
                </w:p>
                <w:p>
                  <w:pPr>
                    <w:widowControl/>
                    <w:adjustRightInd w:val="0"/>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3.供应商提供的相应证明材料复印件均应符合：内容完整、清晰、整洁，并由供应商加盖其单位公章。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atLeast"/>
                <w:jc w:val="center"/>
              </w:trPr>
              <w:tc>
                <w:tcPr>
                  <w:tcW w:w="24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a7</w:t>
                  </w:r>
                  <w:r>
                    <w:rPr>
                      <w:rFonts w:hint="eastAsia" w:ascii="宋体" w:hAnsi="宋体"/>
                      <w:sz w:val="24"/>
                    </w:rPr>
                    <w:t>具备履行合同所必需的设备和专业技术能力的证明材料</w:t>
                  </w:r>
                </w:p>
              </w:tc>
              <w:tc>
                <w:tcPr>
                  <w:tcW w:w="509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1.供应商已在中国政府采购网进行了网上登记，并已列入“福建省政府采购代理机构名单”【提供在中国政府采购网政府采购代理机构名单查询结果的完整截图】。</w:t>
                  </w:r>
                </w:p>
                <w:p>
                  <w:pPr>
                    <w:widowControl/>
                    <w:adjustRightInd w:val="0"/>
                    <w:snapToGrid w:val="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2.供应商在福州市应有固定的办公、评审场所【提供自有产权证明或租赁合同（附产权证明及提交响应文件截止时间前连续三个月（不含提交响应文件截止时间的当月）的租金转账凭证）】。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24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5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a8</w:t>
                  </w:r>
                  <w:r>
                    <w:rPr>
                      <w:rFonts w:hint="eastAsia" w:ascii="宋体" w:hAnsi="宋体"/>
                      <w:kern w:val="0"/>
                      <w:sz w:val="24"/>
                    </w:rPr>
                    <w:t>供应商参加采购活动前3年内在经营活动中没有重大违法记录的书面声明</w:t>
                  </w:r>
                </w:p>
              </w:tc>
              <w:tc>
                <w:tcPr>
                  <w:tcW w:w="509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1.提供供应商参加采购活动前3年内在经营活动中没有重大违法记录的书面声明函。2.纸质响应文件正本中的本声明应为原件。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6" w:hRule="atLeast"/>
                <w:jc w:val="center"/>
              </w:trPr>
              <w:tc>
                <w:tcPr>
                  <w:tcW w:w="24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a9</w:t>
                  </w:r>
                  <w:r>
                    <w:rPr>
                      <w:rFonts w:ascii="宋体" w:hAnsi="宋体"/>
                      <w:sz w:val="24"/>
                    </w:rPr>
                    <w:t>信用记录查询结果</w:t>
                  </w:r>
                </w:p>
              </w:tc>
              <w:tc>
                <w:tcPr>
                  <w:tcW w:w="509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列入失信被执行人、重大税收违法案件当事人名单、政府采购严重违法失信行为记录名单的供应商，不得参加本次投标。根据财库〔2016〕125号文件规定，供应商不得被列入失信被执行人、重大税收违法案件当事人名单、政府采购严重违法失信行为记录名单，供应商针对“信用记录查询结果”可自主提供证明材料，未提供该证明材料的不视为响应文件无效。查询结果的审查：①由磋商小组通过上述网站查询并打印供应商信用记录（以下简称：“磋商小组的查询结果”）。②供应商提供的查询结果与磋商小组的查询结果不一致的，以磋商小组的查询结果为准。③因上述网站原因导致磋商小组无法查询供应商信用记录的（磋商小组应将通过上述网站查询供应商信用记录时的原始页面打印后随磋商文件一并存档），视为查询结果未存在供应商应被拒绝参与政府采购活动相关的信息。④查询结果存在供应商应被拒绝参与政府采购活动相关信息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24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5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a10磋商保证金</w:t>
                  </w:r>
                </w:p>
              </w:tc>
              <w:tc>
                <w:tcPr>
                  <w:tcW w:w="509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提供磋商保证金缴纳证明材料</w:t>
                  </w:r>
                </w:p>
              </w:tc>
            </w:tr>
          </w:tbl>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w:t>
            </w: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是否接受联合体形式的响应磋商：</w:t>
            </w:r>
            <w:r>
              <w:rPr>
                <w:rFonts w:hint="eastAsia" w:ascii="宋体" w:hAnsi="宋体" w:cs="宋体"/>
                <w:color w:val="000000" w:themeColor="text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6.3</w:t>
            </w: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是否组织现场考察或召开磋商前答疑会：</w:t>
            </w:r>
            <w:r>
              <w:rPr>
                <w:rFonts w:hint="eastAsia" w:ascii="宋体" w:hAnsi="宋体" w:cs="宋体"/>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wordWrap w:val="0"/>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9.1</w:t>
            </w: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wordWrap w:val="0"/>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响应文件有效期：</w:t>
            </w:r>
            <w:r>
              <w:rPr>
                <w:rFonts w:hint="eastAsia" w:ascii="宋体" w:hAnsi="宋体" w:cs="宋体"/>
                <w:color w:val="000000" w:themeColor="text1"/>
                <w14:textFill>
                  <w14:solidFill>
                    <w14:schemeClr w14:val="tx1"/>
                  </w14:solidFill>
                </w14:textFill>
              </w:rPr>
              <w:t>首次响应文件提交截止时间起90个日历日。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10.1</w:t>
            </w: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tcPr>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提交磋商保证金：</w:t>
            </w:r>
            <w:r>
              <w:rPr>
                <w:rFonts w:hint="eastAsia" w:ascii="宋体" w:hAnsi="宋体" w:cs="宋体"/>
                <w:color w:val="000000" w:themeColor="text1"/>
                <w14:textFill>
                  <w14:solidFill>
                    <w14:schemeClr w14:val="tx1"/>
                  </w14:solidFill>
                </w14:textFill>
              </w:rPr>
              <w:t>本项目的磋商保证金金额详见第一章《采购标的一览表》，提交方式为</w:t>
            </w:r>
            <w:r>
              <w:rPr>
                <w:rFonts w:hint="eastAsia" w:ascii="宋体" w:hAnsi="宋体" w:cs="宋体"/>
                <w:color w:val="000000" w:themeColor="text1"/>
                <w:u w:val="single"/>
                <w14:textFill>
                  <w14:solidFill>
                    <w14:schemeClr w14:val="tx1"/>
                  </w14:solidFill>
                </w14:textFill>
              </w:rPr>
              <w:t>银行对公转账等非现金形式提交</w:t>
            </w:r>
            <w:r>
              <w:rPr>
                <w:rFonts w:hint="eastAsia" w:ascii="宋体" w:hAnsi="宋体" w:cs="宋体"/>
                <w:color w:val="000000" w:themeColor="text1"/>
                <w14:textFill>
                  <w14:solidFill>
                    <w14:schemeClr w14:val="tx1"/>
                  </w14:solidFill>
                </w14:textFill>
              </w:rPr>
              <w:t>，须于提交首次响应文件截止时间前到达指定账户为准，是否到达以</w:t>
            </w:r>
            <w:r>
              <w:rPr>
                <w:u w:val="single"/>
              </w:rPr>
              <w:t>银行到账时间</w:t>
            </w:r>
            <w:r>
              <w:rPr>
                <w:rFonts w:hint="eastAsia" w:ascii="宋体" w:hAnsi="宋体" w:cs="宋体"/>
                <w:color w:val="000000" w:themeColor="text1"/>
                <w14:textFill>
                  <w14:solidFill>
                    <w14:schemeClr w14:val="tx1"/>
                  </w14:solidFill>
                </w14:textFill>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10.3.1</w:t>
            </w: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磋商保证金退还的其它要求：</w:t>
            </w:r>
            <w:r>
              <w:rPr>
                <w:rFonts w:hint="eastAsia" w:ascii="宋体" w:hAnsi="宋体" w:cs="宋体"/>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w:t>
            </w: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wordWrap w:val="0"/>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纸质响应文件的份数</w:t>
            </w:r>
          </w:p>
          <w:p>
            <w:pPr>
              <w:pStyle w:val="18"/>
              <w:widowControl/>
              <w:wordWrap w:val="0"/>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①响应文件正本</w:t>
            </w:r>
            <w:r>
              <w:rPr>
                <w:rFonts w:hint="eastAsia" w:ascii="宋体" w:hAnsi="宋体" w:cs="宋体"/>
                <w:color w:val="000000" w:themeColor="text1"/>
                <w:u w:val="single"/>
                <w14:textFill>
                  <w14:solidFill>
                    <w14:schemeClr w14:val="tx1"/>
                  </w14:solidFill>
                </w14:textFill>
              </w:rPr>
              <w:t>1</w:t>
            </w:r>
            <w:r>
              <w:rPr>
                <w:rFonts w:hint="eastAsia" w:ascii="宋体" w:hAnsi="宋体" w:cs="宋体"/>
                <w:color w:val="000000" w:themeColor="text1"/>
                <w14:textFill>
                  <w14:solidFill>
                    <w14:schemeClr w14:val="tx1"/>
                  </w14:solidFill>
                </w14:textFill>
              </w:rPr>
              <w:t>份、副本</w:t>
            </w:r>
            <w:r>
              <w:rPr>
                <w:rFonts w:hint="eastAsia" w:ascii="宋体" w:hAnsi="宋体" w:cs="宋体"/>
                <w:color w:val="000000" w:themeColor="text1"/>
                <w:u w:val="single"/>
                <w14:textFill>
                  <w14:solidFill>
                    <w14:schemeClr w14:val="tx1"/>
                  </w14:solidFill>
                </w14:textFill>
              </w:rPr>
              <w:t>5</w:t>
            </w:r>
            <w:r>
              <w:rPr>
                <w:rFonts w:hint="eastAsia" w:ascii="宋体" w:hAnsi="宋体" w:cs="宋体"/>
                <w:color w:val="000000" w:themeColor="text1"/>
                <w14:textFill>
                  <w14:solidFill>
                    <w14:schemeClr w14:val="tx1"/>
                  </w14:solidFill>
                </w14:textFill>
              </w:rPr>
              <w:t>份。</w:t>
            </w:r>
          </w:p>
          <w:p>
            <w:pPr>
              <w:pStyle w:val="18"/>
              <w:widowControl/>
              <w:wordWrap w:val="0"/>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②可读介质(光盘或U盘)</w:t>
            </w:r>
            <w:r>
              <w:rPr>
                <w:rFonts w:hint="eastAsia" w:ascii="宋体" w:hAnsi="宋体" w:cs="宋体"/>
                <w:color w:val="000000" w:themeColor="text1"/>
                <w:u w:val="single"/>
                <w14:textFill>
                  <w14:solidFill>
                    <w14:schemeClr w14:val="tx1"/>
                  </w14:solidFill>
                </w14:textFill>
              </w:rPr>
              <w:t>1</w:t>
            </w:r>
            <w:r>
              <w:rPr>
                <w:rFonts w:hint="eastAsia" w:ascii="宋体" w:hAnsi="宋体" w:cs="宋体"/>
                <w:color w:val="000000" w:themeColor="text1"/>
                <w14:textFill>
                  <w14:solidFill>
                    <w14:schemeClr w14:val="tx1"/>
                  </w14:solidFill>
                </w14:textFill>
              </w:rPr>
              <w:t>份：将电子响应文件在可读介质中另存</w:t>
            </w:r>
            <w:r>
              <w:rPr>
                <w:rFonts w:hint="eastAsia" w:ascii="宋体" w:hAnsi="宋体" w:cs="宋体"/>
                <w:color w:val="000000" w:themeColor="text1"/>
                <w:u w:val="single"/>
                <w14:textFill>
                  <w14:solidFill>
                    <w14:schemeClr w14:val="tx1"/>
                  </w14:solidFill>
                </w14:textFill>
              </w:rPr>
              <w:t>1</w:t>
            </w:r>
            <w:r>
              <w:rPr>
                <w:rFonts w:hint="eastAsia" w:ascii="宋体" w:hAnsi="宋体" w:cs="宋体"/>
                <w:color w:val="000000" w:themeColor="text1"/>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14.4</w:t>
            </w: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tcPr>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磋商过程中可能发生实质性变动的内容：</w:t>
            </w:r>
            <w:r>
              <w:rPr>
                <w:rStyle w:val="24"/>
                <w:rFonts w:hint="eastAsia" w:ascii="宋体" w:hAnsi="宋体" w:cs="宋体"/>
                <w:b w:val="0"/>
                <w:bCs/>
                <w:color w:val="000000" w:themeColor="text1"/>
                <w14:textFill>
                  <w14:solidFill>
                    <w14:schemeClr w14:val="tx1"/>
                  </w14:solidFill>
                </w14:textFill>
              </w:rPr>
              <w:t>在磋商过程中，磋商小组可以根据磋商文件和磋商情况实质性变动采购需求中的技术、服务要求以及合同草案条款，但不得变动磋商文件中的其他内容。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14.9</w:t>
            </w: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评审的标准和方法：具体内容详见竞争性磋商须知前附表专项附件“评审的标准和方法”。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wordWrap w:val="0"/>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rPr>
                <w:rFonts w:ascii="宋体" w:hAnsi="宋体" w:cs="宋体"/>
              </w:rPr>
            </w:pPr>
            <w:r>
              <w:rPr>
                <w:rStyle w:val="24"/>
                <w:rFonts w:hint="eastAsia" w:ascii="宋体" w:hAnsi="宋体" w:cs="宋体"/>
              </w:rPr>
              <w:t>根据采购项目的特点和需要，需要加以详细说明的其他磋商程序规定、要求等内容</w:t>
            </w: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w:t>
            </w: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tcPr>
          <w:p>
            <w:pPr>
              <w:pStyle w:val="18"/>
              <w:widowControl/>
              <w:wordWrap w:val="0"/>
              <w:adjustRightInd w:val="0"/>
              <w:snapToGrid w:val="0"/>
              <w:spacing w:beforeAutospacing="0" w:afterAutospacing="0" w:line="500" w:lineRule="exact"/>
              <w:rPr>
                <w:rStyle w:val="24"/>
                <w:rFonts w:ascii="宋体" w:hAnsi="宋体" w:cs="宋体"/>
              </w:rPr>
            </w:pPr>
            <w:r>
              <w:rPr>
                <w:rStyle w:val="24"/>
                <w:rFonts w:hint="eastAsia" w:ascii="宋体" w:hAnsi="宋体" w:cs="宋体"/>
              </w:rPr>
              <w:t>信息公告指定媒体(以下简称：“指定媒体”)：</w:t>
            </w:r>
          </w:p>
          <w:p>
            <w:pPr>
              <w:pStyle w:val="18"/>
              <w:widowControl/>
              <w:wordWrap w:val="0"/>
              <w:adjustRightInd w:val="0"/>
              <w:snapToGrid w:val="0"/>
              <w:spacing w:beforeAutospacing="0" w:afterAutospacing="0" w:line="500" w:lineRule="exact"/>
              <w:rPr>
                <w:rFonts w:ascii="宋体" w:hAnsi="宋体" w:cs="宋体"/>
              </w:rPr>
            </w:pPr>
            <w:r>
              <w:rPr>
                <w:rFonts w:hint="eastAsia" w:ascii="宋体" w:hAnsi="宋体" w:cs="宋体"/>
              </w:rPr>
              <w:t>（1）中国政府采购网，网址www.ccgp.gov.cn</w:t>
            </w:r>
          </w:p>
          <w:p>
            <w:pPr>
              <w:pStyle w:val="18"/>
              <w:widowControl/>
              <w:wordWrap w:val="0"/>
              <w:adjustRightInd w:val="0"/>
              <w:snapToGrid w:val="0"/>
              <w:spacing w:beforeAutospacing="0" w:afterAutospacing="0" w:line="500" w:lineRule="exact"/>
              <w:rPr>
                <w:rFonts w:ascii="宋体" w:hAnsi="宋体" w:cs="宋体"/>
              </w:rPr>
            </w:pPr>
            <w:r>
              <w:rPr>
                <w:rFonts w:hint="eastAsia" w:ascii="宋体" w:hAnsi="宋体" w:cs="宋体"/>
              </w:rPr>
              <w:t>（2）福建康泰招标有限公司官网，网址http://www.fjktzb.com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23.1</w:t>
            </w: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rPr>
                <w:rFonts w:ascii="宋体" w:hAnsi="宋体" w:cs="宋体"/>
              </w:rPr>
            </w:pPr>
            <w:r>
              <w:rPr>
                <w:rStyle w:val="24"/>
                <w:rFonts w:hint="eastAsia" w:ascii="宋体" w:hAnsi="宋体" w:cs="宋体"/>
              </w:rPr>
              <w:t>本项目监督管理部门：</w:t>
            </w:r>
            <w:r>
              <w:rPr>
                <w:rFonts w:hint="eastAsia" w:ascii="宋体" w:hAnsi="宋体" w:cs="宋体"/>
              </w:rPr>
              <w:t>天津大学福州国际联合学院监督部门。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24.1</w:t>
            </w: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rPr>
                <w:rStyle w:val="24"/>
                <w:rFonts w:ascii="宋体" w:hAnsi="宋体" w:cs="宋体"/>
              </w:rPr>
            </w:pPr>
            <w:r>
              <w:rPr>
                <w:rStyle w:val="24"/>
                <w:rFonts w:hint="eastAsia" w:ascii="宋体" w:hAnsi="宋体" w:cs="宋体"/>
              </w:rPr>
              <w:t>履约保证金：</w:t>
            </w:r>
          </w:p>
          <w:tbl>
            <w:tblPr>
              <w:tblStyle w:val="21"/>
              <w:tblW w:w="740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936"/>
              <w:gridCol w:w="1734"/>
              <w:gridCol w:w="473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936" w:type="dxa"/>
                  <w:tcBorders>
                    <w:top w:val="single" w:color="808080" w:sz="6" w:space="0"/>
                    <w:left w:val="single" w:color="808080" w:sz="6" w:space="0"/>
                    <w:bottom w:val="single" w:color="808080" w:sz="6" w:space="0"/>
                    <w:right w:val="single" w:color="808080" w:sz="6" w:space="0"/>
                    <w:tl2br w:val="nil"/>
                    <w:tr2bl w:val="nil"/>
                  </w:tcBorders>
                  <w:vAlign w:val="center"/>
                </w:tcPr>
                <w:p>
                  <w:pPr>
                    <w:widowControl/>
                    <w:jc w:val="left"/>
                    <w:rPr>
                      <w:b/>
                    </w:rPr>
                  </w:pPr>
                  <w:r>
                    <w:rPr>
                      <w:rFonts w:hint="eastAsia" w:ascii="宋体" w:hAnsi="宋体" w:cs="宋体"/>
                      <w:b/>
                      <w:kern w:val="0"/>
                      <w:sz w:val="24"/>
                      <w:lang w:bidi="ar"/>
                    </w:rPr>
                    <w:t>包号</w:t>
                  </w:r>
                </w:p>
              </w:tc>
              <w:tc>
                <w:tcPr>
                  <w:tcW w:w="1734" w:type="dxa"/>
                  <w:tcBorders>
                    <w:top w:val="single" w:color="808080" w:sz="6" w:space="0"/>
                    <w:left w:val="single" w:color="808080" w:sz="6" w:space="0"/>
                    <w:bottom w:val="single" w:color="808080" w:sz="6" w:space="0"/>
                    <w:right w:val="single" w:color="808080" w:sz="6" w:space="0"/>
                    <w:tl2br w:val="nil"/>
                    <w:tr2bl w:val="nil"/>
                  </w:tcBorders>
                  <w:vAlign w:val="center"/>
                </w:tcPr>
                <w:p>
                  <w:pPr>
                    <w:widowControl/>
                    <w:jc w:val="left"/>
                    <w:rPr>
                      <w:b/>
                    </w:rPr>
                  </w:pPr>
                  <w:r>
                    <w:rPr>
                      <w:rFonts w:hint="eastAsia" w:ascii="宋体" w:hAnsi="宋体" w:cs="宋体"/>
                      <w:b/>
                      <w:kern w:val="0"/>
                      <w:sz w:val="24"/>
                      <w:lang w:bidi="ar"/>
                    </w:rPr>
                    <w:t>履约保证金</w:t>
                  </w:r>
                </w:p>
              </w:tc>
              <w:tc>
                <w:tcPr>
                  <w:tcW w:w="4736" w:type="dxa"/>
                  <w:tcBorders>
                    <w:top w:val="single" w:color="808080" w:sz="6" w:space="0"/>
                    <w:left w:val="single" w:color="808080" w:sz="6" w:space="0"/>
                    <w:bottom w:val="single" w:color="808080" w:sz="6" w:space="0"/>
                    <w:right w:val="single" w:color="808080" w:sz="6" w:space="0"/>
                    <w:tl2br w:val="nil"/>
                    <w:tr2bl w:val="nil"/>
                  </w:tcBorders>
                  <w:vAlign w:val="center"/>
                </w:tcPr>
                <w:p>
                  <w:pPr>
                    <w:widowControl/>
                    <w:jc w:val="left"/>
                    <w:rPr>
                      <w:b/>
                    </w:rPr>
                  </w:pPr>
                  <w:r>
                    <w:rPr>
                      <w:rFonts w:hint="eastAsia" w:ascii="宋体" w:hAnsi="宋体" w:cs="宋体"/>
                      <w:b/>
                      <w:kern w:val="0"/>
                      <w:sz w:val="24"/>
                      <w:lang w:bidi="ar"/>
                    </w:rPr>
                    <w:t>履约保证金说明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36" w:type="dxa"/>
                  <w:tcBorders>
                    <w:top w:val="single" w:color="808080" w:sz="6" w:space="0"/>
                    <w:left w:val="single" w:color="808080" w:sz="6" w:space="0"/>
                    <w:bottom w:val="single" w:color="808080" w:sz="6" w:space="0"/>
                    <w:right w:val="single" w:color="808080" w:sz="6" w:space="0"/>
                    <w:tl2br w:val="nil"/>
                    <w:tr2bl w:val="nil"/>
                  </w:tcBorders>
                  <w:shd w:val="clear" w:color="auto" w:fill="FFFFFF"/>
                  <w:vAlign w:val="center"/>
                </w:tcPr>
                <w:p>
                  <w:pPr>
                    <w:widowControl/>
                    <w:jc w:val="center"/>
                  </w:pPr>
                  <w:r>
                    <w:rPr>
                      <w:rFonts w:hint="eastAsia" w:ascii="宋体" w:hAnsi="宋体" w:cs="宋体"/>
                      <w:kern w:val="0"/>
                      <w:sz w:val="24"/>
                      <w:lang w:bidi="ar"/>
                    </w:rPr>
                    <w:t>1</w:t>
                  </w:r>
                </w:p>
              </w:tc>
              <w:tc>
                <w:tcPr>
                  <w:tcW w:w="1734" w:type="dxa"/>
                  <w:tcBorders>
                    <w:top w:val="single" w:color="808080" w:sz="6" w:space="0"/>
                    <w:left w:val="single" w:color="808080" w:sz="6" w:space="0"/>
                    <w:bottom w:val="single" w:color="808080" w:sz="6" w:space="0"/>
                    <w:right w:val="single" w:color="808080" w:sz="6" w:space="0"/>
                    <w:tl2br w:val="nil"/>
                    <w:tr2bl w:val="nil"/>
                  </w:tcBorders>
                  <w:shd w:val="clear" w:color="auto" w:fill="FFFFFF"/>
                  <w:vAlign w:val="center"/>
                </w:tcPr>
                <w:p>
                  <w:pPr>
                    <w:widowControl/>
                    <w:jc w:val="center"/>
                  </w:pPr>
                  <w:r>
                    <w:rPr>
                      <w:rFonts w:hint="eastAsia" w:ascii="宋体" w:hAnsi="宋体" w:cs="宋体"/>
                      <w:kern w:val="0"/>
                      <w:sz w:val="24"/>
                      <w:lang w:bidi="ar"/>
                    </w:rPr>
                    <w:t>20000元</w:t>
                  </w:r>
                </w:p>
              </w:tc>
              <w:tc>
                <w:tcPr>
                  <w:tcW w:w="4736" w:type="dxa"/>
                  <w:tcBorders>
                    <w:top w:val="single" w:color="808080" w:sz="6" w:space="0"/>
                    <w:left w:val="single" w:color="808080" w:sz="6" w:space="0"/>
                    <w:bottom w:val="single" w:color="808080" w:sz="6" w:space="0"/>
                    <w:right w:val="single" w:color="808080" w:sz="6" w:space="0"/>
                    <w:tl2br w:val="nil"/>
                    <w:tr2bl w:val="nil"/>
                  </w:tcBorders>
                  <w:shd w:val="clear" w:color="auto" w:fill="FFFFFF"/>
                  <w:vAlign w:val="center"/>
                </w:tcPr>
                <w:p>
                  <w:pPr>
                    <w:widowControl/>
                  </w:pPr>
                  <w:r>
                    <w:rPr>
                      <w:rFonts w:hint="eastAsia" w:ascii="宋体" w:hAnsi="宋体" w:cs="宋体"/>
                      <w:kern w:val="0"/>
                      <w:sz w:val="24"/>
                      <w:lang w:bidi="ar"/>
                    </w:rPr>
                    <w:t>成交供应商在签订采购合同前应向采购人缴纳20000元整履约保证金，该履约保证金于服务期满后无违约的前提下，成交供应商提供书面申请后7个工作日内一次性无息退还。履约保证金以转账、履约保函等非现金形式提交。</w:t>
                  </w:r>
                </w:p>
              </w:tc>
            </w:tr>
          </w:tbl>
          <w:p>
            <w:pPr>
              <w:pStyle w:val="18"/>
              <w:widowControl/>
              <w:adjustRightInd w:val="0"/>
              <w:snapToGrid w:val="0"/>
              <w:spacing w:beforeAutospacing="0" w:afterAutospacing="0" w:line="5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w:t>
            </w: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wordWrap w:val="0"/>
              <w:adjustRightInd w:val="0"/>
              <w:snapToGrid w:val="0"/>
              <w:spacing w:beforeAutospacing="0" w:afterAutospacing="0" w:line="500" w:lineRule="exact"/>
              <w:rPr>
                <w:rFonts w:ascii="宋体" w:hAnsi="宋体" w:cs="宋体"/>
              </w:rPr>
            </w:pPr>
            <w:r>
              <w:rPr>
                <w:rStyle w:val="24"/>
                <w:rFonts w:hint="eastAsia" w:ascii="宋体" w:hAnsi="宋体" w:cs="宋体"/>
              </w:rPr>
              <w:t>根据采购项目特点或政策需要补充的其他新增内容：</w:t>
            </w:r>
          </w:p>
          <w:p>
            <w:pPr>
              <w:pStyle w:val="18"/>
              <w:widowControl/>
              <w:wordWrap w:val="0"/>
              <w:adjustRightInd w:val="0"/>
              <w:snapToGrid w:val="0"/>
              <w:spacing w:beforeAutospacing="0" w:afterAutospacing="0" w:line="500" w:lineRule="exact"/>
              <w:jc w:val="both"/>
              <w:rPr>
                <w:rFonts w:ascii="宋体" w:hAnsi="宋体" w:cs="宋体"/>
              </w:rPr>
            </w:pPr>
            <w:r>
              <w:rPr>
                <w:rFonts w:hint="eastAsia" w:ascii="宋体" w:hAnsi="宋体" w:cs="宋体"/>
              </w:rPr>
              <w:t>（1）本项目采购代理服务费向成交供应商收取，每家成交供应商应在领取成交通知书前一次性支付1500元的采购代理服务费。（2）代理服务费的交纳方式：成交供应商应按规定的标准一次性向代理机构缴清代理服务费。代理服务费以银行转账或现金等付款方式。（3）服务费缴纳账户信息：开户名：福建康泰招标有限公司；开户行：中信银行福州江滨路支行；账号：7612110182600018475。（4）质疑受理的其它要求：在法定质疑期内质疑人须一次性提出针对同一采购程序环节的质疑，二（多）次质疑不予受理。（5）供应商的澄清、说明或更正应当采用书面形式，由其单位负责人或其授权代表签字，前述澄清、说明或更正不得超出响应文件的范围或改变响应文件的实质性内容。若供应商未按前述规定向磋商小组提交书面澄清、说明或更正，则磋商小组将按照不利于供应商的内容进行认定。（6）关于报价计算错误修正的原则 ①报价一览表内容与分项报价表内容不一致的，以报价一览表为准；②大写金额和小写金额不一致的，以大写金额为准；③单价金额小数点或百分比有明显错位的，以报价一览表的总价为准，并修改单价；④总价金额与按单价汇总金额不一致的，以单价金额计算结果为准； ※同时出现两种以上不一致的，按照前款规定的顺序修正。若磋商小组按照上述规定修正，则相应供应商应予接受且修正后的报价对其起约束作用。若供应商不接受修正或未按照磋商小组的要求提交修正后的报价确认意见，则视为该供应商未实质性响应竞争性磋商文件要求，其符合性检查不合格且磋商保证金将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5</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ascii="宋体" w:hAnsi="宋体" w:cs="宋体"/>
                <w:bCs/>
              </w:rPr>
              <w:t>18.1</w:t>
            </w: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wordWrap w:val="0"/>
              <w:adjustRightInd w:val="0"/>
              <w:snapToGrid w:val="0"/>
              <w:spacing w:beforeAutospacing="0" w:afterAutospacing="0" w:line="500" w:lineRule="exact"/>
              <w:jc w:val="both"/>
              <w:rPr>
                <w:rStyle w:val="24"/>
                <w:rFonts w:ascii="宋体" w:hAnsi="宋体" w:cs="宋体"/>
              </w:rPr>
            </w:pPr>
            <w:r>
              <w:rPr>
                <w:rFonts w:ascii="宋体" w:hAnsi="宋体" w:cs="宋体"/>
                <w:bCs/>
              </w:rPr>
              <w:t>合同签订时限：自</w:t>
            </w:r>
            <w:r>
              <w:rPr>
                <w:rFonts w:hint="eastAsia" w:ascii="宋体" w:hAnsi="宋体" w:cs="宋体"/>
                <w:bCs/>
              </w:rPr>
              <w:t>成交</w:t>
            </w:r>
            <w:r>
              <w:rPr>
                <w:rFonts w:ascii="宋体" w:hAnsi="宋体" w:cs="宋体"/>
                <w:bCs/>
              </w:rPr>
              <w:t>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6</w:t>
            </w:r>
          </w:p>
        </w:tc>
        <w:tc>
          <w:tcPr>
            <w:tcW w:w="99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pStyle w:val="18"/>
              <w:widowControl/>
              <w:adjustRightInd w:val="0"/>
              <w:snapToGrid w:val="0"/>
              <w:spacing w:beforeAutospacing="0" w:afterAutospacing="0" w:line="500" w:lineRule="exact"/>
              <w:jc w:val="center"/>
              <w:rPr>
                <w:rFonts w:ascii="宋体" w:hAnsi="宋体" w:cs="宋体"/>
              </w:rPr>
            </w:pPr>
            <w:r>
              <w:rPr>
                <w:rFonts w:hint="eastAsia" w:ascii="宋体" w:hAnsi="宋体" w:cs="宋体"/>
              </w:rPr>
              <w:t>成交供应商数量规定</w:t>
            </w:r>
          </w:p>
        </w:tc>
        <w:tc>
          <w:tcPr>
            <w:tcW w:w="757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tabs>
                <w:tab w:val="left" w:pos="525"/>
                <w:tab w:val="left" w:pos="570"/>
                <w:tab w:val="left" w:pos="630"/>
                <w:tab w:val="left" w:pos="735"/>
              </w:tabs>
              <w:spacing w:line="500" w:lineRule="exact"/>
              <w:rPr>
                <w:rFonts w:ascii="宋体" w:hAnsi="宋体" w:cs="宋体"/>
                <w:sz w:val="24"/>
              </w:rPr>
            </w:pPr>
            <w:r>
              <w:rPr>
                <w:rFonts w:hint="eastAsia" w:ascii="宋体" w:hAnsi="宋体" w:cs="宋体"/>
                <w:sz w:val="24"/>
              </w:rPr>
              <w:t>推荐4名政府采购代理机构为成交候选人，确定4名政府采购代理机构为成交供应商。</w:t>
            </w:r>
            <w:r>
              <w:rPr>
                <w:rFonts w:hint="eastAsia" w:ascii="宋体" w:hAnsi="宋体" w:cs="宋体"/>
                <w:kern w:val="0"/>
                <w:sz w:val="24"/>
              </w:rPr>
              <w:t>（</w:t>
            </w:r>
            <w:r>
              <w:rPr>
                <w:rFonts w:hint="eastAsia" w:ascii="宋体" w:hAnsi="宋体" w:cs="宋体"/>
                <w:sz w:val="24"/>
              </w:rPr>
              <w:t>详见3.3.2具体评审标准和方法）</w:t>
            </w:r>
          </w:p>
        </w:tc>
      </w:tr>
    </w:tbl>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br w:type="page"/>
      </w:r>
    </w:p>
    <w:p>
      <w:pPr>
        <w:pStyle w:val="18"/>
        <w:widowControl/>
        <w:spacing w:beforeAutospacing="0" w:afterAutospacing="0" w:line="360" w:lineRule="exact"/>
        <w:ind w:left="-363" w:right="-363"/>
      </w:pPr>
      <w:bookmarkStart w:id="12" w:name="_Toc17045"/>
      <w:r>
        <w:rPr>
          <w:rFonts w:hint="eastAsia" w:ascii="宋体" w:hAnsi="宋体" w:cs="宋体"/>
          <w:sz w:val="28"/>
          <w:szCs w:val="28"/>
          <w:shd w:val="clear" w:color="auto" w:fill="FFFFFF"/>
        </w:rPr>
        <w:t> </w:t>
      </w:r>
      <w:r>
        <w:rPr>
          <w:rStyle w:val="24"/>
          <w:rFonts w:hint="eastAsia" w:ascii="宋体" w:hAnsi="宋体" w:cs="宋体"/>
          <w:shd w:val="clear" w:color="auto" w:fill="FFFFFF"/>
        </w:rPr>
        <w:t xml:space="preserve">专项附件：           </w:t>
      </w:r>
      <w:r>
        <w:rPr>
          <w:rStyle w:val="24"/>
          <w:rFonts w:hint="eastAsia" w:ascii="宋体" w:hAnsi="宋体" w:cs="宋体"/>
          <w:sz w:val="31"/>
          <w:szCs w:val="31"/>
          <w:shd w:val="clear" w:color="auto" w:fill="FFFFFF"/>
        </w:rPr>
        <w:t>评审的标准和方法</w:t>
      </w:r>
    </w:p>
    <w:bookmarkEnd w:id="12"/>
    <w:p>
      <w:pPr>
        <w:pStyle w:val="18"/>
        <w:widowControl/>
        <w:adjustRightInd w:val="0"/>
        <w:snapToGrid w:val="0"/>
        <w:spacing w:beforeAutospacing="0" w:afterAutospacing="0" w:line="360" w:lineRule="exact"/>
        <w:jc w:val="center"/>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w:t>
      </w:r>
      <w:bookmarkStart w:id="13" w:name="_Toc16139"/>
      <w:r>
        <w:rPr>
          <w:rStyle w:val="24"/>
          <w:rFonts w:hint="eastAsia" w:ascii="宋体" w:hAnsi="宋体" w:cs="宋体"/>
          <w:color w:val="000000" w:themeColor="text1"/>
          <w:shd w:val="clear" w:color="auto" w:fill="FFFFFF"/>
          <w14:textFill>
            <w14:solidFill>
              <w14:schemeClr w14:val="tx1"/>
            </w14:solidFill>
          </w14:textFill>
        </w:rPr>
        <w:t>一、磋商小组</w:t>
      </w:r>
      <w:bookmarkEnd w:id="13"/>
    </w:p>
    <w:p>
      <w:pPr>
        <w:pStyle w:val="18"/>
        <w:widowControl/>
        <w:adjustRightInd w:val="0"/>
        <w:snapToGrid w:val="0"/>
        <w:spacing w:beforeAutospacing="0" w:afterAutospacing="0"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1.1采购人根据项目的特点依法组建磋商小组。</w:t>
      </w:r>
    </w:p>
    <w:p>
      <w:pPr>
        <w:pStyle w:val="18"/>
        <w:widowControl/>
        <w:adjustRightInd w:val="0"/>
        <w:snapToGrid w:val="0"/>
        <w:spacing w:beforeAutospacing="0" w:afterAutospacing="0" w:line="360" w:lineRule="exact"/>
        <w:ind w:firstLine="480" w:firstLineChars="200"/>
        <w:rPr>
          <w:rFonts w:ascii="宋体" w:hAnsi="宋体" w:cs="宋体"/>
          <w:shd w:val="clear" w:color="auto" w:fill="FFFFFF"/>
        </w:rPr>
      </w:pPr>
      <w:r>
        <w:rPr>
          <w:rFonts w:hint="eastAsia" w:ascii="宋体" w:hAnsi="宋体" w:cs="宋体"/>
          <w:shd w:val="clear" w:color="auto" w:fill="FFFFFF"/>
        </w:rPr>
        <w:t>1.2磋商小组由采购人代表和评审专家(以下简称“评委”)共5人组成，其中由福建省政府采购评审专家库产生的评审专家4人， 由采购人派出的采购人代表1人。</w:t>
      </w:r>
    </w:p>
    <w:p>
      <w:pPr>
        <w:pStyle w:val="18"/>
        <w:widowControl/>
        <w:adjustRightInd w:val="0"/>
        <w:snapToGrid w:val="0"/>
        <w:spacing w:beforeAutospacing="0" w:afterAutospacing="0" w:line="36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1.3磋商小组负责具体磋商和评审事务，并按照下列原则依法独立履行有关职责：</w:t>
      </w:r>
    </w:p>
    <w:p>
      <w:pPr>
        <w:pStyle w:val="18"/>
        <w:widowControl/>
        <w:adjustRightInd w:val="0"/>
        <w:snapToGrid w:val="0"/>
        <w:spacing w:beforeAutospacing="0" w:afterAutospacing="0" w:line="36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1.3.1评审应保护国家利益、社会公共利益和各方当事人合法权益，提高采购效益，保证项目质量。</w:t>
      </w:r>
    </w:p>
    <w:p>
      <w:pPr>
        <w:pStyle w:val="18"/>
        <w:widowControl/>
        <w:adjustRightInd w:val="0"/>
        <w:snapToGrid w:val="0"/>
        <w:spacing w:beforeAutospacing="0" w:afterAutospacing="0" w:line="36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1.3.2评审应遵循公平、公正、科学、严谨和择优原则。</w:t>
      </w:r>
    </w:p>
    <w:p>
      <w:pPr>
        <w:pStyle w:val="18"/>
        <w:widowControl/>
        <w:adjustRightInd w:val="0"/>
        <w:snapToGrid w:val="0"/>
        <w:spacing w:beforeAutospacing="0" w:afterAutospacing="0" w:line="36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1.3.3评审的依据是磋商文件和响应文件，磋商文件中没有规定的评审标准不得作为评审依据。</w:t>
      </w:r>
    </w:p>
    <w:p>
      <w:pPr>
        <w:pStyle w:val="18"/>
        <w:widowControl/>
        <w:adjustRightInd w:val="0"/>
        <w:snapToGrid w:val="0"/>
        <w:spacing w:beforeAutospacing="0" w:afterAutospacing="0" w:line="36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1.3.4磋商小组应按照磋商文件规定推荐成交候选人或根据采购人的授权确定成交供应商。</w:t>
      </w:r>
    </w:p>
    <w:p>
      <w:pPr>
        <w:pStyle w:val="18"/>
        <w:widowControl/>
        <w:adjustRightInd w:val="0"/>
        <w:snapToGrid w:val="0"/>
        <w:spacing w:beforeAutospacing="0" w:afterAutospacing="0" w:line="36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1.3.5评审应遵守下列评审纪律：</w:t>
      </w:r>
    </w:p>
    <w:p>
      <w:pPr>
        <w:pStyle w:val="18"/>
        <w:widowControl/>
        <w:adjustRightInd w:val="0"/>
        <w:snapToGrid w:val="0"/>
        <w:spacing w:beforeAutospacing="0" w:afterAutospacing="0" w:line="36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①评审情况不得私自外泄，有关信息由采购人或其委托的代理机构统一对外发布。</w:t>
      </w:r>
    </w:p>
    <w:p>
      <w:pPr>
        <w:pStyle w:val="18"/>
        <w:widowControl/>
        <w:adjustRightInd w:val="0"/>
        <w:snapToGrid w:val="0"/>
        <w:spacing w:beforeAutospacing="0" w:afterAutospacing="0" w:line="36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②对采购人或供应商提供的要求保密的资料，不得摘记翻印和外传。</w:t>
      </w:r>
    </w:p>
    <w:p>
      <w:pPr>
        <w:pStyle w:val="18"/>
        <w:widowControl/>
        <w:adjustRightInd w:val="0"/>
        <w:snapToGrid w:val="0"/>
        <w:spacing w:beforeAutospacing="0" w:afterAutospacing="0" w:line="36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③不得收受供应商或有关人员的任何礼物，不得串联鼓动其他人袒护某供应商。若与供应商存在利害关系，则应主动声明并回避。</w:t>
      </w:r>
    </w:p>
    <w:p>
      <w:pPr>
        <w:pStyle w:val="18"/>
        <w:widowControl/>
        <w:adjustRightInd w:val="0"/>
        <w:snapToGrid w:val="0"/>
        <w:spacing w:beforeAutospacing="0" w:afterAutospacing="0" w:line="36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④全体磋商小组成员应按照磋商文件规定进行评审，一切认定事项应查有实据且不得弄虚作假。</w:t>
      </w:r>
    </w:p>
    <w:p>
      <w:pPr>
        <w:pStyle w:val="18"/>
        <w:widowControl/>
        <w:adjustRightInd w:val="0"/>
        <w:snapToGrid w:val="0"/>
        <w:spacing w:beforeAutospacing="0" w:afterAutospacing="0" w:line="36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⑤评审中应充分发扬民主，推荐成交供应商候选人或根据采购人授权确定成交供应商后要服从评审报告。</w:t>
      </w:r>
    </w:p>
    <w:p>
      <w:pPr>
        <w:pStyle w:val="18"/>
        <w:widowControl/>
        <w:adjustRightInd w:val="0"/>
        <w:snapToGrid w:val="0"/>
        <w:spacing w:beforeAutospacing="0" w:afterAutospacing="0" w:line="360" w:lineRule="exact"/>
        <w:ind w:firstLine="482" w:firstLineChars="20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※对违反评审纪律的评委，将取消其评委资格，对评审工作造成严重损失者将予以通报批评乃至追究法律责任。</w:t>
      </w:r>
    </w:p>
    <w:p>
      <w:pPr>
        <w:pStyle w:val="18"/>
        <w:widowControl/>
        <w:adjustRightInd w:val="0"/>
        <w:snapToGrid w:val="0"/>
        <w:spacing w:beforeAutospacing="0" w:afterAutospacing="0"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bookmarkStart w:id="14" w:name="_Toc3242"/>
      <w:r>
        <w:rPr>
          <w:rFonts w:hint="eastAsia" w:ascii="宋体" w:hAnsi="宋体" w:cs="宋体"/>
          <w:color w:val="000000" w:themeColor="text1"/>
          <w:shd w:val="clear" w:color="auto" w:fill="FFFFFF"/>
          <w14:textFill>
            <w14:solidFill>
              <w14:schemeClr w14:val="tx1"/>
            </w14:solidFill>
          </w14:textFill>
        </w:rPr>
        <w:t>二、</w:t>
      </w:r>
      <w:r>
        <w:rPr>
          <w:rStyle w:val="24"/>
          <w:rFonts w:hint="eastAsia" w:ascii="宋体" w:hAnsi="宋体" w:cs="宋体"/>
          <w:color w:val="000000" w:themeColor="text1"/>
          <w:shd w:val="clear" w:color="auto" w:fill="FFFFFF"/>
          <w14:textFill>
            <w14:solidFill>
              <w14:schemeClr w14:val="tx1"/>
            </w14:solidFill>
          </w14:textFill>
        </w:rPr>
        <w:t>磋商程序</w:t>
      </w:r>
      <w:bookmarkEnd w:id="14"/>
    </w:p>
    <w:p>
      <w:pPr>
        <w:pStyle w:val="18"/>
        <w:widowControl/>
        <w:adjustRightInd w:val="0"/>
        <w:snapToGrid w:val="0"/>
        <w:spacing w:beforeAutospacing="0" w:afterAutospacing="0"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2.1磋商程序按照磋商文件第二章第2节“竞争性磋商须知”第14 条“磋商程序以及评审标准和方法”的相关条款规定执行。</w:t>
      </w:r>
    </w:p>
    <w:p>
      <w:pPr>
        <w:pStyle w:val="18"/>
        <w:widowControl/>
        <w:adjustRightInd w:val="0"/>
        <w:snapToGrid w:val="0"/>
        <w:spacing w:beforeAutospacing="0" w:afterAutospacing="0" w:line="36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2.2磋商文件不能详细列明采购标的的技术、服务要求，需经磋商由供应商提供最终设计方案或解决方案的，磋商结束后，磋商小组应当按照少数服从多数的原则投票推荐4家以上供应商的设计方案或者解决方案，并要求其在规定时间内提交最后报价。</w:t>
      </w:r>
    </w:p>
    <w:p>
      <w:pPr>
        <w:pStyle w:val="18"/>
        <w:widowControl/>
        <w:adjustRightInd w:val="0"/>
        <w:snapToGrid w:val="0"/>
        <w:spacing w:beforeAutospacing="0" w:afterAutospacing="0" w:line="36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2.3只有资格审查和实质性响应审查均合格且按规定提交最后报价的合格供应商才能参加综合评分。</w:t>
      </w:r>
    </w:p>
    <w:p>
      <w:pPr>
        <w:pStyle w:val="18"/>
        <w:widowControl/>
        <w:adjustRightInd w:val="0"/>
        <w:snapToGrid w:val="0"/>
        <w:spacing w:beforeAutospacing="0" w:afterAutospacing="0" w:line="360" w:lineRule="exact"/>
        <w:jc w:val="center"/>
        <w:outlineLvl w:val="1"/>
        <w:rPr>
          <w:rFonts w:ascii="宋体" w:hAnsi="宋体" w:cs="宋体"/>
          <w:color w:val="000000" w:themeColor="text1"/>
          <w14:textFill>
            <w14:solidFill>
              <w14:schemeClr w14:val="tx1"/>
            </w14:solidFill>
          </w14:textFill>
        </w:rPr>
      </w:pPr>
      <w:bookmarkStart w:id="15" w:name="_Toc18557"/>
      <w:r>
        <w:rPr>
          <w:rStyle w:val="24"/>
          <w:rFonts w:hint="eastAsia" w:ascii="宋体" w:hAnsi="宋体" w:cs="宋体"/>
          <w:color w:val="000000" w:themeColor="text1"/>
          <w:shd w:val="clear" w:color="auto" w:fill="FFFFFF"/>
          <w14:textFill>
            <w14:solidFill>
              <w14:schemeClr w14:val="tx1"/>
            </w14:solidFill>
          </w14:textFill>
        </w:rPr>
        <w:t>三、综合评分的标准和方法</w:t>
      </w:r>
      <w:bookmarkEnd w:id="15"/>
    </w:p>
    <w:p>
      <w:pPr>
        <w:pStyle w:val="18"/>
        <w:widowControl/>
        <w:adjustRightInd w:val="0"/>
        <w:snapToGrid w:val="0"/>
        <w:spacing w:beforeAutospacing="0" w:afterAutospacing="0"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3.1磋商小组将采用综合评分法对提交最后报价的合格供应商的响应文件和最后报价进行综合评分。具体综合评分的标准和方法如下：</w:t>
      </w:r>
    </w:p>
    <w:p>
      <w:pPr>
        <w:pStyle w:val="18"/>
        <w:widowControl/>
        <w:adjustRightInd w:val="0"/>
        <w:snapToGrid w:val="0"/>
        <w:spacing w:beforeAutospacing="0" w:afterAutospacing="0" w:line="360" w:lineRule="exact"/>
        <w:ind w:firstLine="480" w:firstLineChars="200"/>
        <w:jc w:val="both"/>
        <w:rPr>
          <w:rFonts w:ascii="宋体" w:hAnsi="宋体" w:cs="宋体"/>
        </w:rPr>
      </w:pPr>
      <w:r>
        <w:rPr>
          <w:rFonts w:hint="eastAsia" w:ascii="宋体" w:hAnsi="宋体" w:cs="宋体"/>
          <w:color w:val="000000" w:themeColor="text1"/>
          <w:shd w:val="clear" w:color="auto" w:fill="FFFFFF"/>
          <w14:textFill>
            <w14:solidFill>
              <w14:schemeClr w14:val="tx1"/>
            </w14:solidFill>
          </w14:textFill>
        </w:rPr>
        <w:t>3.3.1磋商小组将对相应合同包提交最后报价的合格供应商从技术、商务及报价部分分别进行评议并评分，并汇总出技术、商务及报价部分的综合得分。若提交最后报价的合格供应商大于等于3家小于等于4家的，则全部推荐为成交候选人。若提交最后报价的合格供应商大于4家的,按综合得分从高到低的顺序推荐4名成交候选人，如果出现相同的综合得分，则最后报价低的供应商排序在前优先推荐，如果最后报价相同，则技术部分得分高的供应商排序在前优先推荐；如果供应商有相同的综合</w:t>
      </w:r>
      <w:r>
        <w:rPr>
          <w:rFonts w:hint="eastAsia" w:ascii="宋体" w:hAnsi="宋体" w:cs="宋体"/>
          <w:shd w:val="clear" w:color="auto" w:fill="FFFFFF"/>
        </w:rPr>
        <w:t>得分且最后报价、技术部分得分也相同的，则由磋商小组以随机抽取的形式，确定他们之间的排名顺序。（本磋商文件中与以上要求有冲突的以此为准）</w:t>
      </w:r>
    </w:p>
    <w:p>
      <w:pPr>
        <w:pStyle w:val="18"/>
        <w:widowControl/>
        <w:adjustRightInd w:val="0"/>
        <w:snapToGrid w:val="0"/>
        <w:spacing w:beforeAutospacing="0" w:afterAutospacing="0" w:line="360" w:lineRule="exact"/>
        <w:ind w:firstLine="480" w:firstLineChars="200"/>
        <w:rPr>
          <w:rFonts w:ascii="宋体" w:hAnsi="宋体" w:cs="宋体"/>
        </w:rPr>
      </w:pPr>
      <w:r>
        <w:rPr>
          <w:rFonts w:hint="eastAsia" w:ascii="宋体" w:hAnsi="宋体" w:cs="宋体"/>
          <w:shd w:val="clear" w:color="auto" w:fill="FFFFFF"/>
        </w:rPr>
        <w:t>3.3.2具体评审标准和方法：</w:t>
      </w:r>
    </w:p>
    <w:p>
      <w:pPr>
        <w:pStyle w:val="18"/>
        <w:widowControl/>
        <w:adjustRightInd w:val="0"/>
        <w:snapToGrid w:val="0"/>
        <w:spacing w:beforeAutospacing="0" w:afterAutospacing="0" w:line="360" w:lineRule="exact"/>
        <w:ind w:firstLine="480" w:firstLineChars="200"/>
        <w:rPr>
          <w:rFonts w:ascii="宋体" w:hAnsi="宋体" w:cs="宋体"/>
        </w:rPr>
      </w:pPr>
      <w:r>
        <w:rPr>
          <w:rFonts w:hint="eastAsia" w:ascii="宋体" w:hAnsi="宋体" w:cs="宋体"/>
          <w:shd w:val="clear" w:color="auto" w:fill="FFFFFF"/>
        </w:rPr>
        <w:t>(1)响应文件满足磋商文件全部实质性要求，且按照评审因素的量化指标综合评审总得分从高到低顺序推荐4名成交候选人。</w:t>
      </w:r>
    </w:p>
    <w:p>
      <w:pPr>
        <w:spacing w:line="360" w:lineRule="exact"/>
        <w:ind w:firstLine="547" w:firstLineChars="228"/>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(2)</w:t>
      </w:r>
      <w:r>
        <w:rPr>
          <w:rFonts w:hint="eastAsia" w:ascii="宋体" w:hAnsi="宋体" w:cs="宋体"/>
          <w:color w:val="000000" w:themeColor="text1"/>
          <w:kern w:val="0"/>
          <w:sz w:val="24"/>
          <w:shd w:val="clear" w:color="auto" w:fill="FFFFFF"/>
          <w14:textFill>
            <w14:solidFill>
              <w14:schemeClr w14:val="tx1"/>
            </w14:solidFill>
          </w14:textFill>
        </w:rPr>
        <w:t>本项目总分100分，各部分评分分值分布如下：</w:t>
      </w:r>
    </w:p>
    <w:p>
      <w:pPr>
        <w:spacing w:line="360" w:lineRule="exact"/>
        <w:ind w:firstLine="602" w:firstLineChars="250"/>
        <w:rPr>
          <w:rFonts w:ascii="宋体" w:hAnsi="宋体" w:cs="宋体"/>
          <w:b/>
          <w:color w:val="000000" w:themeColor="text1"/>
          <w:kern w:val="0"/>
          <w:sz w:val="24"/>
          <w:shd w:val="clear" w:color="auto" w:fill="FFFFFF"/>
          <w14:textFill>
            <w14:solidFill>
              <w14:schemeClr w14:val="tx1"/>
            </w14:solidFill>
          </w14:textFill>
        </w:rPr>
      </w:pPr>
      <w:r>
        <w:rPr>
          <w:rStyle w:val="24"/>
          <w:rFonts w:hint="eastAsia" w:ascii="宋体" w:hAnsi="宋体" w:cs="宋体"/>
          <w:sz w:val="24"/>
          <w:shd w:val="clear" w:color="auto" w:fill="FFFFFF"/>
        </w:rPr>
        <w:t>PT</w:t>
      </w:r>
      <w:r>
        <w:rPr>
          <w:rFonts w:hint="eastAsia" w:ascii="宋体" w:hAnsi="宋体" w:cs="宋体"/>
          <w:b/>
          <w:color w:val="000000" w:themeColor="text1"/>
          <w:kern w:val="0"/>
          <w:sz w:val="24"/>
          <w:shd w:val="clear" w:color="auto" w:fill="FFFFFF"/>
          <w14:textFill>
            <w14:solidFill>
              <w14:schemeClr w14:val="tx1"/>
            </w14:solidFill>
          </w14:textFill>
        </w:rPr>
        <w:t>：技术部份评分         满分65分</w:t>
      </w:r>
    </w:p>
    <w:p>
      <w:pPr>
        <w:spacing w:line="360" w:lineRule="exact"/>
        <w:ind w:firstLine="602" w:firstLineChars="250"/>
        <w:rPr>
          <w:rFonts w:ascii="宋体" w:hAnsi="宋体" w:cs="宋体"/>
          <w:b/>
          <w:color w:val="000000" w:themeColor="text1"/>
          <w:kern w:val="0"/>
          <w:sz w:val="24"/>
          <w:shd w:val="clear" w:color="auto" w:fill="FFFFFF"/>
          <w14:textFill>
            <w14:solidFill>
              <w14:schemeClr w14:val="tx1"/>
            </w14:solidFill>
          </w14:textFill>
        </w:rPr>
      </w:pPr>
      <w:r>
        <w:rPr>
          <w:rStyle w:val="24"/>
          <w:rFonts w:hint="eastAsia" w:ascii="宋体" w:hAnsi="宋体" w:cs="宋体"/>
          <w:sz w:val="24"/>
          <w:shd w:val="clear" w:color="auto" w:fill="FFFFFF"/>
        </w:rPr>
        <w:t>PB</w:t>
      </w:r>
      <w:r>
        <w:rPr>
          <w:rFonts w:hint="eastAsia" w:ascii="宋体" w:hAnsi="宋体" w:cs="宋体"/>
          <w:b/>
          <w:color w:val="000000" w:themeColor="text1"/>
          <w:kern w:val="0"/>
          <w:sz w:val="24"/>
          <w:shd w:val="clear" w:color="auto" w:fill="FFFFFF"/>
          <w14:textFill>
            <w14:solidFill>
              <w14:schemeClr w14:val="tx1"/>
            </w14:solidFill>
          </w14:textFill>
        </w:rPr>
        <w:t>：商务部份评分         满分25分</w:t>
      </w:r>
    </w:p>
    <w:p>
      <w:pPr>
        <w:spacing w:line="360" w:lineRule="exact"/>
        <w:ind w:firstLine="602" w:firstLineChars="250"/>
        <w:rPr>
          <w:rFonts w:ascii="宋体" w:hAnsi="宋体" w:cs="宋体"/>
          <w:b/>
          <w:color w:val="000000" w:themeColor="text1"/>
          <w:kern w:val="0"/>
          <w:sz w:val="24"/>
          <w:shd w:val="clear" w:color="auto" w:fill="FFFFFF"/>
          <w14:textFill>
            <w14:solidFill>
              <w14:schemeClr w14:val="tx1"/>
            </w14:solidFill>
          </w14:textFill>
        </w:rPr>
      </w:pPr>
      <w:r>
        <w:rPr>
          <w:rStyle w:val="24"/>
          <w:rFonts w:hint="eastAsia" w:ascii="宋体" w:hAnsi="宋体" w:cs="宋体"/>
          <w:sz w:val="24"/>
          <w:shd w:val="clear" w:color="auto" w:fill="FFFFFF"/>
        </w:rPr>
        <w:t>PF</w:t>
      </w:r>
      <w:r>
        <w:rPr>
          <w:rFonts w:hint="eastAsia" w:ascii="宋体" w:hAnsi="宋体" w:cs="宋体"/>
          <w:b/>
          <w:color w:val="000000" w:themeColor="text1"/>
          <w:kern w:val="0"/>
          <w:sz w:val="24"/>
          <w:shd w:val="clear" w:color="auto" w:fill="FFFFFF"/>
          <w14:textFill>
            <w14:solidFill>
              <w14:schemeClr w14:val="tx1"/>
            </w14:solidFill>
          </w14:textFill>
        </w:rPr>
        <w:t>：报价部份评分         满分10分</w:t>
      </w:r>
    </w:p>
    <w:p>
      <w:pPr>
        <w:spacing w:line="360" w:lineRule="exact"/>
        <w:ind w:firstLine="480"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合格供应商PT、PB部分的最终得分取各个评委的评分的平均值，并四舍五入取小数点后的2位数。</w:t>
      </w:r>
    </w:p>
    <w:p>
      <w:pPr>
        <w:spacing w:line="360" w:lineRule="exact"/>
        <w:ind w:firstLine="480"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各合格供应商综合得分：P=PT＋PB+PF</w:t>
      </w:r>
    </w:p>
    <w:p>
      <w:pPr>
        <w:pStyle w:val="18"/>
        <w:widowControl/>
        <w:adjustRightInd w:val="0"/>
        <w:snapToGrid w:val="0"/>
        <w:spacing w:beforeAutospacing="0" w:afterAutospacing="0" w:line="500" w:lineRule="exact"/>
        <w:ind w:firstLine="482" w:firstLineChars="200"/>
        <w:rPr>
          <w:rStyle w:val="24"/>
          <w:rFonts w:ascii="宋体" w:hAnsi="宋体" w:cs="宋体"/>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（一）</w:t>
      </w:r>
      <w:r>
        <w:rPr>
          <w:rStyle w:val="24"/>
          <w:rFonts w:hint="eastAsia" w:ascii="宋体" w:hAnsi="宋体" w:cs="宋体"/>
          <w:bCs/>
          <w:color w:val="000000" w:themeColor="text1"/>
          <w14:textFill>
            <w14:solidFill>
              <w14:schemeClr w14:val="tx1"/>
            </w14:solidFill>
          </w14:textFill>
        </w:rPr>
        <w:t>技术部分评分</w:t>
      </w:r>
      <w:r>
        <w:rPr>
          <w:rStyle w:val="24"/>
          <w:rFonts w:hint="eastAsia" w:ascii="宋体" w:hAnsi="宋体" w:cs="宋体"/>
          <w:shd w:val="clear" w:color="auto" w:fill="FFFFFF"/>
        </w:rPr>
        <w:t>PT</w:t>
      </w:r>
      <w:r>
        <w:rPr>
          <w:rStyle w:val="24"/>
          <w:rFonts w:hint="eastAsia" w:ascii="宋体" w:hAnsi="宋体" w:cs="宋体"/>
          <w:bCs/>
          <w:color w:val="000000" w:themeColor="text1"/>
          <w14:textFill>
            <w14:solidFill>
              <w14:schemeClr w14:val="tx1"/>
            </w14:solidFill>
          </w14:textFill>
        </w:rPr>
        <w:t>    </w:t>
      </w:r>
      <w:r>
        <w:rPr>
          <w:rStyle w:val="24"/>
          <w:rFonts w:hint="eastAsia" w:ascii="宋体" w:hAnsi="宋体" w:cs="宋体"/>
          <w:shd w:val="clear" w:color="auto" w:fill="FFFFFF"/>
        </w:rPr>
        <w:t>满分</w:t>
      </w:r>
      <w:r>
        <w:rPr>
          <w:rStyle w:val="24"/>
          <w:rFonts w:hint="eastAsia" w:ascii="宋体" w:hAnsi="宋体" w:cs="宋体"/>
          <w:u w:val="single"/>
          <w:shd w:val="clear" w:color="auto" w:fill="FFFFFF"/>
        </w:rPr>
        <w:t>65</w:t>
      </w:r>
      <w:r>
        <w:rPr>
          <w:rStyle w:val="24"/>
          <w:rFonts w:hint="eastAsia" w:ascii="宋体" w:hAnsi="宋体" w:cs="宋体"/>
          <w:shd w:val="clear" w:color="auto" w:fill="FFFFFF"/>
        </w:rPr>
        <w:t>分</w:t>
      </w:r>
    </w:p>
    <w:tbl>
      <w:tblPr>
        <w:tblStyle w:val="21"/>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8"/>
        <w:gridCol w:w="912"/>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1128"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评标项目</w:t>
            </w:r>
          </w:p>
        </w:tc>
        <w:tc>
          <w:tcPr>
            <w:tcW w:w="912"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评标</w:t>
            </w:r>
          </w:p>
          <w:p>
            <w:pPr>
              <w:widowControl/>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分值</w:t>
            </w:r>
          </w:p>
        </w:tc>
        <w:tc>
          <w:tcPr>
            <w:tcW w:w="7063" w:type="dxa"/>
            <w:shd w:val="clear" w:color="auto" w:fill="FFFFFF"/>
            <w:vAlign w:val="center"/>
          </w:tcPr>
          <w:p>
            <w:pPr>
              <w:widowControl/>
              <w:adjustRightInd w:val="0"/>
              <w:snapToGrid w:val="0"/>
              <w:spacing w:line="360" w:lineRule="auto"/>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4" w:hRule="atLeast"/>
          <w:jc w:val="center"/>
        </w:trPr>
        <w:tc>
          <w:tcPr>
            <w:tcW w:w="1128"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T1、人员配备情况1</w:t>
            </w:r>
          </w:p>
        </w:tc>
        <w:tc>
          <w:tcPr>
            <w:tcW w:w="912"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3</w:t>
            </w:r>
          </w:p>
        </w:tc>
        <w:tc>
          <w:tcPr>
            <w:tcW w:w="7063" w:type="dxa"/>
            <w:shd w:val="clear" w:color="auto" w:fill="FFFFFF"/>
            <w:vAlign w:val="center"/>
          </w:tcPr>
          <w:p>
            <w:pPr>
              <w:widowControl/>
              <w:adjustRightInd w:val="0"/>
              <w:snapToGrid w:val="0"/>
              <w:spacing w:line="360" w:lineRule="auto"/>
              <w:rPr>
                <w:rFonts w:asciiTheme="minorEastAsia" w:hAnsiTheme="minorEastAsia" w:eastAsiaTheme="minorEastAsia" w:cstheme="minorEastAsia"/>
                <w:b/>
                <w:bCs/>
                <w:color w:val="000000" w:themeColor="text1"/>
                <w:sz w:val="24"/>
                <w:lang w:bidi="ar"/>
                <w14:textFill>
                  <w14:solidFill>
                    <w14:schemeClr w14:val="tx1"/>
                  </w14:solidFill>
                </w14:textFill>
              </w:rPr>
            </w:pPr>
            <w:r>
              <w:rPr>
                <w:rFonts w:hint="eastAsia" w:asciiTheme="minorEastAsia" w:hAnsiTheme="minorEastAsia" w:eastAsiaTheme="minorEastAsia" w:cstheme="minorEastAsia"/>
                <w:b/>
                <w:bCs/>
                <w:color w:val="000000" w:themeColor="text1"/>
                <w:sz w:val="24"/>
                <w:lang w:bidi="ar"/>
                <w14:textFill>
                  <w14:solidFill>
                    <w14:schemeClr w14:val="tx1"/>
                  </w14:solidFill>
                </w14:textFill>
              </w:rPr>
              <w:t>本项目人员配置中，项目经理总体负责本项目的协调与沟通，项目组长负责与采购人接洽具体项目、接收委托书、取送相关资料等日常事务性工作，不得随意变更。本项目授权代表应为该项目经理或项目组长；现场讲标和问答环节应由项目组长完成。</w:t>
            </w:r>
          </w:p>
          <w:p>
            <w:pPr>
              <w:widowControl/>
              <w:adjustRightInd w:val="0"/>
              <w:snapToGrid w:val="0"/>
              <w:spacing w:line="360" w:lineRule="auto"/>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对项目经理的要求：</w:t>
            </w:r>
          </w:p>
          <w:p>
            <w:pPr>
              <w:widowControl/>
              <w:adjustRightInd w:val="0"/>
              <w:snapToGrid w:val="0"/>
              <w:spacing w:line="360" w:lineRule="auto"/>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1）具备10年以上相关工作经验（毕业时间至今不少于10年），得1分。须提供政府采购代理业务经验、项目经理岗位经验【工作经历以劳动合同、在职/离职证明、社保缴交证明、采购人与招标代理机构签订的委托代理协议、采购公告（提供中国政府采购网采购公告的截图打印件并注明网址，公告中须体现该人员名字）】等可以相互印证的材料作为认定依据，未提供的不得分。</w:t>
            </w:r>
          </w:p>
          <w:p>
            <w:pPr>
              <w:widowControl/>
              <w:adjustRightInd w:val="0"/>
              <w:snapToGrid w:val="0"/>
              <w:spacing w:line="360" w:lineRule="auto"/>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（2）具有高级职称，得1分。须提供有效的职称证书复印件，未提供的不得分。</w:t>
            </w:r>
          </w:p>
          <w:p>
            <w:pPr>
              <w:widowControl/>
              <w:adjustRightInd w:val="0"/>
              <w:snapToGrid w:val="0"/>
              <w:spacing w:line="360" w:lineRule="auto"/>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（3）具有国家注册造价工程师资格，得1分。须提供有效的证书复印件，未提供的不得分。</w:t>
            </w:r>
          </w:p>
          <w:p>
            <w:pPr>
              <w:widowControl/>
              <w:adjustRightInd w:val="0"/>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注：供应商须同时提供该项目经理资格审查表（格式详见《第五章首次响应文件格式》附件8-2）、有效的身份证复印件、不得擅自变更项目经理的承诺函（格式自拟）以及响应文件提交截止时间前6个月任意1个月由供应商单位为该人员缴交的社保证明材料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4" w:hRule="atLeast"/>
          <w:jc w:val="center"/>
        </w:trPr>
        <w:tc>
          <w:tcPr>
            <w:tcW w:w="1128"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T2、人员配备情况2</w:t>
            </w:r>
          </w:p>
        </w:tc>
        <w:tc>
          <w:tcPr>
            <w:tcW w:w="912"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p>
        </w:tc>
        <w:tc>
          <w:tcPr>
            <w:tcW w:w="7063" w:type="dxa"/>
            <w:shd w:val="clear" w:color="auto" w:fill="FFFFFF"/>
            <w:vAlign w:val="center"/>
          </w:tcPr>
          <w:p>
            <w:pPr>
              <w:widowControl/>
              <w:adjustRightInd w:val="0"/>
              <w:snapToGrid w:val="0"/>
              <w:spacing w:line="360" w:lineRule="auto"/>
              <w:rPr>
                <w:rFonts w:asciiTheme="minorEastAsia" w:hAnsiTheme="minorEastAsia" w:eastAsiaTheme="minorEastAsia" w:cstheme="minorEastAsia"/>
                <w:b/>
                <w:bCs/>
                <w:color w:val="000000" w:themeColor="text1"/>
                <w:sz w:val="24"/>
                <w:lang w:bidi="ar"/>
                <w14:textFill>
                  <w14:solidFill>
                    <w14:schemeClr w14:val="tx1"/>
                  </w14:solidFill>
                </w14:textFill>
              </w:rPr>
            </w:pPr>
            <w:r>
              <w:rPr>
                <w:rFonts w:hint="eastAsia" w:asciiTheme="minorEastAsia" w:hAnsiTheme="minorEastAsia" w:eastAsiaTheme="minorEastAsia" w:cstheme="minorEastAsia"/>
                <w:b/>
                <w:bCs/>
                <w:color w:val="000000" w:themeColor="text1"/>
                <w:sz w:val="24"/>
                <w:lang w:bidi="ar"/>
                <w14:textFill>
                  <w14:solidFill>
                    <w14:schemeClr w14:val="tx1"/>
                  </w14:solidFill>
                </w14:textFill>
              </w:rPr>
              <w:t>本项目人员配置中，项目经理总体负责本项目的协调与沟通，项目组长负责与采购人接洽具体项目、接收委托书、取送相关资料等日常事务性工作，不得随意变更。本项目授权代表应为该项目经理或项目组长；现场讲标和问答环节应由项目组长完成。</w:t>
            </w:r>
          </w:p>
          <w:p>
            <w:pPr>
              <w:widowControl/>
              <w:adjustRightInd w:val="0"/>
              <w:snapToGrid w:val="0"/>
              <w:spacing w:line="360" w:lineRule="auto"/>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对本项目配备的团队成员（除项目经理外）的要求：项目团队成员须熟悉政府采购相关法律法规，具备履行职责的相应能力，且人数不少于2人。</w:t>
            </w:r>
          </w:p>
          <w:p>
            <w:pPr>
              <w:widowControl/>
              <w:adjustRightInd w:val="0"/>
              <w:snapToGrid w:val="0"/>
              <w:spacing w:line="360" w:lineRule="auto"/>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1）本项目配备的项目组长应具有5年及以上政府采购代理业务经验（毕业时间至今不少于5年），得1分。须提供毕业证复印件及该项目组长资格审查表（格式详见《第五章首次响应文件格式》附件8-3），政府采购代理业务经验【工作经历以劳动合同、在职/离职证明、社保缴交证明、采购人与招标代理机构签订的委托代理协议、采购公告（提供中国政府采购网采购公告的截图打印件并注明网址，公告中须体现该人员名字】等可以相互印证的材料作为认定依据，未提供的不得分。</w:t>
            </w:r>
          </w:p>
          <w:p>
            <w:pPr>
              <w:widowControl/>
              <w:adjustRightInd w:val="0"/>
              <w:snapToGrid w:val="0"/>
              <w:spacing w:line="360" w:lineRule="auto"/>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（2）本团队成员中至少1人具有中级及以上职称，得1分。须提供职称证书复印件，未提供的不得分。</w:t>
            </w:r>
          </w:p>
          <w:p>
            <w:pPr>
              <w:widowControl/>
              <w:adjustRightInd w:val="0"/>
              <w:snapToGrid w:val="0"/>
              <w:spacing w:line="360" w:lineRule="auto"/>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（3）本团队成员中至少1人具有造价师或建造师或建筑师，得1分。须提供造价师或建造师或建筑师证书复印件，造价师或建造师或建筑师证书的执业单位名称须与供应商单位名称须一致，未提供的不得分。</w:t>
            </w:r>
          </w:p>
          <w:p>
            <w:pPr>
              <w:widowControl/>
              <w:adjustRightInd w:val="0"/>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注：供应商须同时提供项目团队人员汇总表（格式详见《第五章首次响应文件格式》附件8-1）、人员有效的身份证复印件、不得擅自变更项目组长的承诺函（格式自拟）以及响应文件提交截止时间前6个月任意1个月由供应商单位为人员缴交的社保证明材料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0" w:hRule="atLeast"/>
          <w:jc w:val="center"/>
        </w:trPr>
        <w:tc>
          <w:tcPr>
            <w:tcW w:w="1128"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T3、服务方案</w:t>
            </w:r>
          </w:p>
        </w:tc>
        <w:tc>
          <w:tcPr>
            <w:tcW w:w="912"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9</w:t>
            </w:r>
          </w:p>
        </w:tc>
        <w:tc>
          <w:tcPr>
            <w:tcW w:w="7063" w:type="dxa"/>
            <w:shd w:val="clear" w:color="auto" w:fill="FFFFFF"/>
            <w:vAlign w:val="center"/>
          </w:tcPr>
          <w:p>
            <w:pPr>
              <w:widowControl/>
              <w:adjustRightInd w:val="0"/>
              <w:snapToGrid w:val="0"/>
              <w:spacing w:line="360" w:lineRule="auto"/>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根据供应商提供的服务方案（方案完善，思路清晰，可操作性强，满足采购人要求，并提出切实可行、合法合规的工作建议和意见），由磋商小组进行评分：方案详细，认识理解深刻的，得9分；方案较为详细，认识理解较为深刻的，得6分；方案不够详细，认识理解不够深刻的，得3分；未提供方案或方案不详细，认识理解不深刻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9" w:hRule="atLeast"/>
          <w:jc w:val="center"/>
        </w:trPr>
        <w:tc>
          <w:tcPr>
            <w:tcW w:w="1128"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T4、质量承诺及保证措施</w:t>
            </w:r>
          </w:p>
        </w:tc>
        <w:tc>
          <w:tcPr>
            <w:tcW w:w="912"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9</w:t>
            </w:r>
          </w:p>
        </w:tc>
        <w:tc>
          <w:tcPr>
            <w:tcW w:w="7063" w:type="dxa"/>
            <w:shd w:val="clear" w:color="auto" w:fill="FFFFFF"/>
            <w:vAlign w:val="center"/>
          </w:tcPr>
          <w:p>
            <w:pPr>
              <w:widowControl/>
              <w:adjustRightInd w:val="0"/>
              <w:snapToGrid w:val="0"/>
              <w:spacing w:line="360" w:lineRule="auto"/>
              <w:jc w:val="left"/>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根据供应商提供的质量承诺及保证措施（对招标范围内各项工作建立了健全的质量控制体系，质量保证措施得当、合理、可行，质量控制目标得到合理分解，并有质量目标无法实现时的认罚承诺），由磋商小组进行评分：阐述的内容全面、得当、合理、可行的，得9分；阐述的内容较全面、较得当、较合理、较可行的，得6分；阐述的内容不太全面、不太得当、不太合理、不太可行的，得3分；未提供或阐述的内容不全面、不得当、不合理、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8"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T5、质疑投诉处理措施</w:t>
            </w:r>
          </w:p>
        </w:tc>
        <w:tc>
          <w:tcPr>
            <w:tcW w:w="912"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9</w:t>
            </w:r>
          </w:p>
        </w:tc>
        <w:tc>
          <w:tcPr>
            <w:tcW w:w="7063" w:type="dxa"/>
            <w:shd w:val="clear" w:color="auto" w:fill="FFFFFF"/>
            <w:vAlign w:val="center"/>
          </w:tcPr>
          <w:p>
            <w:pPr>
              <w:widowControl/>
              <w:adjustRightInd w:val="0"/>
              <w:snapToGrid w:val="0"/>
              <w:spacing w:line="360" w:lineRule="auto"/>
              <w:jc w:val="left"/>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根据供应商提供的质疑投诉处理措施，由磋商小组进行评分：提供详尽的质疑投诉的处理方法和流程的，得9分；提供不甚详尽质疑投诉的处理方法和流程的，得6分；提供简单的质疑投诉的处理方法和流程的，得3分；未提供质疑投诉的处理方法和流程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1128"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T6、内部管理制度</w:t>
            </w:r>
          </w:p>
        </w:tc>
        <w:tc>
          <w:tcPr>
            <w:tcW w:w="912"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9</w:t>
            </w:r>
          </w:p>
        </w:tc>
        <w:tc>
          <w:tcPr>
            <w:tcW w:w="7063" w:type="dxa"/>
            <w:shd w:val="clear" w:color="auto" w:fill="FFFFFF"/>
            <w:vAlign w:val="center"/>
          </w:tcPr>
          <w:p>
            <w:pPr>
              <w:widowControl/>
              <w:adjustRightInd w:val="0"/>
              <w:snapToGrid w:val="0"/>
              <w:spacing w:line="360" w:lineRule="auto"/>
              <w:jc w:val="left"/>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根据供应商提供的内部管理制度（具备人力资源管理制度、财务管理制度、风险控制制度、业务培训制度、档案管理制度等内部管理制度），由磋商小组进行评分：提供详尽的内部管理制度的，得9分；提供不甚详尽的内部管理制度的，得6分；提供简单的内部管理制度的，得3分；未提供内部管理制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9" w:hRule="atLeast"/>
          <w:jc w:val="center"/>
        </w:trPr>
        <w:tc>
          <w:tcPr>
            <w:tcW w:w="1128"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T7、廉洁从业及保密措施</w:t>
            </w:r>
          </w:p>
        </w:tc>
        <w:tc>
          <w:tcPr>
            <w:tcW w:w="912"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9</w:t>
            </w:r>
          </w:p>
        </w:tc>
        <w:tc>
          <w:tcPr>
            <w:tcW w:w="7063" w:type="dxa"/>
            <w:shd w:val="clear" w:color="auto" w:fill="FFFFFF"/>
            <w:vAlign w:val="center"/>
          </w:tcPr>
          <w:p>
            <w:pPr>
              <w:widowControl/>
              <w:adjustRightInd w:val="0"/>
              <w:snapToGrid w:val="0"/>
              <w:spacing w:line="360" w:lineRule="auto"/>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根据供应商提供的廉洁从业及保密措施，由磋商小组进行评分：提供详尽的廉洁从业及保密措施的，得9分；提供不甚详尽的廉洁从业及保密措施的，得6分；提供简单的廉洁从业及保密措施的，得3分；未提供廉洁从业及保密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6" w:hRule="atLeast"/>
          <w:jc w:val="center"/>
        </w:trPr>
        <w:tc>
          <w:tcPr>
            <w:tcW w:w="1128"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T8、服务承诺</w:t>
            </w:r>
          </w:p>
        </w:tc>
        <w:tc>
          <w:tcPr>
            <w:tcW w:w="912"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5</w:t>
            </w:r>
          </w:p>
        </w:tc>
        <w:tc>
          <w:tcPr>
            <w:tcW w:w="7063" w:type="dxa"/>
            <w:shd w:val="clear" w:color="auto" w:fill="FFFFFF"/>
            <w:vAlign w:val="center"/>
          </w:tcPr>
          <w:p>
            <w:pPr>
              <w:widowControl/>
              <w:adjustRightInd w:val="0"/>
              <w:snapToGrid w:val="0"/>
              <w:spacing w:line="360" w:lineRule="auto"/>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根据供应商提供的服务承诺（承诺的服务内容完整，具有较高的可操作性、实用性），由磋商小组进行评分：服务承诺合理可行性优的，得5分；服务承诺合理可行性一般的，得3分； 服务承诺合理可行性差的，得1分；未提供或服务承诺不可行的不得分。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1128"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T9、增值服务</w:t>
            </w:r>
          </w:p>
        </w:tc>
        <w:tc>
          <w:tcPr>
            <w:tcW w:w="912"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3</w:t>
            </w:r>
          </w:p>
        </w:tc>
        <w:tc>
          <w:tcPr>
            <w:tcW w:w="7063" w:type="dxa"/>
            <w:shd w:val="clear" w:color="auto" w:fill="FFFFFF"/>
            <w:vAlign w:val="center"/>
          </w:tcPr>
          <w:p>
            <w:pPr>
              <w:widowControl/>
              <w:adjustRightInd w:val="0"/>
              <w:snapToGrid w:val="0"/>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供应商根据自身行业、业务覆盖范围、经济优势等方面提供增值服务方案（如配合采购人部署并实施全流程电子招投标交易系统等服务），由磋商小组进行评分：服务方案全面，各项服务简洁高效，可行性强的，得3分；服务方案基本全面，服务简洁高效可行的，得2分；服务方案基本全面，服务简洁可行的，得1分；未提供或服务方案明显不足，服务较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1128"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T10、现场讲标（不超过3分钟）</w:t>
            </w:r>
          </w:p>
        </w:tc>
        <w:tc>
          <w:tcPr>
            <w:tcW w:w="912" w:type="dxa"/>
            <w:shd w:val="clear" w:color="auto" w:fill="FFFFFF"/>
            <w:vAlign w:val="center"/>
          </w:tcPr>
          <w:p>
            <w:pPr>
              <w:widowControl/>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6</w:t>
            </w:r>
          </w:p>
        </w:tc>
        <w:tc>
          <w:tcPr>
            <w:tcW w:w="7063" w:type="dxa"/>
            <w:shd w:val="clear" w:color="auto" w:fill="FFFFFF"/>
            <w:vAlign w:val="center"/>
          </w:tcPr>
          <w:p>
            <w:pPr>
              <w:widowControl/>
              <w:adjustRightInd w:val="0"/>
              <w:snapToGrid w:val="0"/>
              <w:spacing w:line="360" w:lineRule="auto"/>
              <w:jc w:val="left"/>
              <w:rPr>
                <w:rFonts w:asciiTheme="minorEastAsia" w:hAnsiTheme="minorEastAsia" w:eastAsiaTheme="minorEastAsia" w:cstheme="minorEastAsia"/>
                <w:color w:val="000000" w:themeColor="text1"/>
                <w:sz w:val="24"/>
                <w:lang w:bidi="ar"/>
                <w14:textFill>
                  <w14:solidFill>
                    <w14:schemeClr w14:val="tx1"/>
                  </w14:solidFill>
                </w14:textFill>
              </w:rPr>
            </w:pPr>
            <w:r>
              <w:rPr>
                <w:rFonts w:ascii="Times New Roman" w:hAnsi="Times New Roman" w:cs="Times New Roman"/>
                <w:color w:val="000000" w:themeColor="text1"/>
                <w:sz w:val="24"/>
                <w:lang w:bidi="ar"/>
                <w14:textFill>
                  <w14:solidFill>
                    <w14:schemeClr w14:val="tx1"/>
                  </w14:solidFill>
                </w14:textFill>
              </w:rPr>
              <w:t>根据供应商</w:t>
            </w:r>
            <w:r>
              <w:rPr>
                <w:rFonts w:ascii="Times New Roman" w:hAnsi="Times New Roman" w:cs="Times New Roman"/>
                <w:kern w:val="0"/>
                <w:sz w:val="24"/>
              </w:rPr>
              <w:t>现场讲标情况</w:t>
            </w:r>
            <w:r>
              <w:rPr>
                <w:rFonts w:hint="eastAsia" w:ascii="Times New Roman" w:hAnsi="Times New Roman" w:cs="Times New Roman"/>
                <w:kern w:val="0"/>
                <w:sz w:val="24"/>
              </w:rPr>
              <w:t>，由磋商小组进行评分：</w:t>
            </w:r>
            <w:r>
              <w:rPr>
                <w:rFonts w:hint="eastAsia" w:asciiTheme="minorEastAsia" w:hAnsiTheme="minorEastAsia" w:eastAsiaTheme="minorEastAsia" w:cstheme="minorEastAsia"/>
                <w:color w:val="000000" w:themeColor="text1"/>
                <w:sz w:val="24"/>
                <w:lang w:bidi="ar"/>
                <w14:textFill>
                  <w14:solidFill>
                    <w14:schemeClr w14:val="tx1"/>
                  </w14:solidFill>
                </w14:textFill>
              </w:rPr>
              <w:t>讲解专业、细致、能充分解答评标专家和用户提出问题的，得6分；讲解较为专业、细致、能够解答评标专家和用户提出问题的，得4分；讲解及对评标专家和用户提出问题的解答一般的，得2分；未进行现场讲解或讲解及对评标专家和用户提出问题未能解答的不得分。</w:t>
            </w:r>
          </w:p>
          <w:p>
            <w:pPr>
              <w:widowControl/>
              <w:adjustRightInd w:val="0"/>
              <w:snapToGrid w:val="0"/>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bCs/>
                <w:color w:val="000000" w:themeColor="text1"/>
                <w:sz w:val="24"/>
                <w:lang w:bidi="ar"/>
                <w14:textFill>
                  <w14:solidFill>
                    <w14:schemeClr w14:val="tx1"/>
                  </w14:solidFill>
                </w14:textFill>
              </w:rPr>
              <w:t>注：现场讲标和问答环节应由项目组长完成，否则本项不得分。</w:t>
            </w:r>
          </w:p>
        </w:tc>
      </w:tr>
    </w:tbl>
    <w:p>
      <w:pPr>
        <w:pStyle w:val="18"/>
        <w:widowControl/>
        <w:adjustRightInd w:val="0"/>
        <w:spacing w:beforeAutospacing="0" w:after="150" w:afterAutospacing="0" w:line="420" w:lineRule="atLeast"/>
        <w:ind w:firstLine="480"/>
        <w:rPr>
          <w:rStyle w:val="24"/>
          <w:rFonts w:ascii="宋体" w:hAnsi="宋体" w:cs="宋体"/>
          <w:shd w:val="clear" w:color="auto" w:fill="FFFFFF"/>
        </w:rPr>
      </w:pPr>
      <w:r>
        <w:rPr>
          <w:rFonts w:hint="eastAsia" w:ascii="宋体" w:hAnsi="宋体" w:cs="宋体"/>
          <w:b/>
          <w:bCs/>
          <w:color w:val="000000" w:themeColor="text1"/>
          <w14:textFill>
            <w14:solidFill>
              <w14:schemeClr w14:val="tx1"/>
            </w14:solidFill>
          </w14:textFill>
        </w:rPr>
        <w:t>（二）</w:t>
      </w:r>
      <w:r>
        <w:rPr>
          <w:rStyle w:val="24"/>
          <w:rFonts w:hint="eastAsia" w:ascii="宋体" w:hAnsi="宋体" w:cs="宋体"/>
          <w:bCs/>
          <w:color w:val="000000" w:themeColor="text1"/>
          <w14:textFill>
            <w14:solidFill>
              <w14:schemeClr w14:val="tx1"/>
            </w14:solidFill>
          </w14:textFill>
        </w:rPr>
        <w:t>商务部分评分</w:t>
      </w:r>
      <w:r>
        <w:rPr>
          <w:rStyle w:val="24"/>
          <w:rFonts w:hint="eastAsia" w:ascii="宋体" w:hAnsi="宋体" w:cs="宋体"/>
          <w:shd w:val="clear" w:color="auto" w:fill="FFFFFF"/>
        </w:rPr>
        <w:t>PB</w:t>
      </w:r>
      <w:r>
        <w:rPr>
          <w:rStyle w:val="24"/>
          <w:rFonts w:hint="eastAsia" w:ascii="宋体" w:hAnsi="宋体" w:cs="宋体"/>
          <w:bCs/>
          <w:color w:val="000000" w:themeColor="text1"/>
          <w14:textFill>
            <w14:solidFill>
              <w14:schemeClr w14:val="tx1"/>
            </w14:solidFill>
          </w14:textFill>
        </w:rPr>
        <w:t xml:space="preserve">     </w:t>
      </w:r>
      <w:r>
        <w:rPr>
          <w:rStyle w:val="24"/>
          <w:rFonts w:hint="eastAsia" w:ascii="宋体" w:hAnsi="宋体" w:cs="宋体"/>
          <w:shd w:val="clear" w:color="auto" w:fill="FFFFFF"/>
        </w:rPr>
        <w:t>满分</w:t>
      </w:r>
      <w:r>
        <w:rPr>
          <w:rStyle w:val="24"/>
          <w:rFonts w:hint="eastAsia" w:ascii="宋体" w:hAnsi="宋体" w:cs="宋体"/>
          <w:u w:val="single"/>
          <w:shd w:val="clear" w:color="auto" w:fill="FFFFFF"/>
        </w:rPr>
        <w:t>25</w:t>
      </w:r>
      <w:r>
        <w:rPr>
          <w:rStyle w:val="24"/>
          <w:rFonts w:hint="eastAsia" w:ascii="宋体" w:hAnsi="宋体" w:cs="宋体"/>
          <w:shd w:val="clear" w:color="auto" w:fill="FFFFFF"/>
        </w:rPr>
        <w:t>分</w:t>
      </w:r>
    </w:p>
    <w:tbl>
      <w:tblPr>
        <w:tblStyle w:val="21"/>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923"/>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1145" w:type="dxa"/>
            <w:shd w:val="clear" w:color="auto" w:fill="FFFFFF"/>
            <w:vAlign w:val="center"/>
          </w:tcPr>
          <w:p>
            <w:pPr>
              <w:widowControl/>
              <w:adjustRightInd w:val="0"/>
              <w:snapToGrid w:val="0"/>
              <w:spacing w:line="500" w:lineRule="exact"/>
              <w:jc w:val="center"/>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评标项目</w:t>
            </w:r>
          </w:p>
        </w:tc>
        <w:tc>
          <w:tcPr>
            <w:tcW w:w="923" w:type="dxa"/>
            <w:shd w:val="clear" w:color="auto" w:fill="FFFFFF"/>
            <w:vAlign w:val="center"/>
          </w:tcPr>
          <w:p>
            <w:pPr>
              <w:widowControl/>
              <w:adjustRightInd w:val="0"/>
              <w:snapToGrid w:val="0"/>
              <w:spacing w:line="400" w:lineRule="exact"/>
              <w:jc w:val="center"/>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评标</w:t>
            </w:r>
          </w:p>
          <w:p>
            <w:pPr>
              <w:widowControl/>
              <w:adjustRightInd w:val="0"/>
              <w:snapToGrid w:val="0"/>
              <w:spacing w:line="400" w:lineRule="exact"/>
              <w:jc w:val="center"/>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分值</w:t>
            </w:r>
          </w:p>
        </w:tc>
        <w:tc>
          <w:tcPr>
            <w:tcW w:w="7115" w:type="dxa"/>
            <w:shd w:val="clear" w:color="auto" w:fill="FFFFFF"/>
            <w:vAlign w:val="center"/>
          </w:tcPr>
          <w:p>
            <w:pPr>
              <w:widowControl/>
              <w:adjustRightInd w:val="0"/>
              <w:snapToGrid w:val="0"/>
              <w:spacing w:line="500" w:lineRule="exact"/>
              <w:jc w:val="left"/>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lang w:bidi="ar"/>
                <w14:textFill>
                  <w14:solidFill>
                    <w14:schemeClr w14:val="tx1"/>
                  </w14:solidFill>
                </w14:textFill>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1145" w:type="dxa"/>
            <w:shd w:val="clear" w:color="auto" w:fill="FFFFFF"/>
            <w:vAlign w:val="center"/>
          </w:tcPr>
          <w:p>
            <w:pPr>
              <w:widowControl/>
              <w:snapToGrid w:val="0"/>
              <w:spacing w:line="40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B1、资信情况</w:t>
            </w:r>
          </w:p>
        </w:tc>
        <w:tc>
          <w:tcPr>
            <w:tcW w:w="923" w:type="dxa"/>
            <w:shd w:val="clear" w:color="auto" w:fill="FFFFFF"/>
            <w:vAlign w:val="center"/>
          </w:tcPr>
          <w:p>
            <w:pPr>
              <w:widowControl/>
              <w:snapToGrid w:val="0"/>
              <w:spacing w:line="40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7115" w:type="dxa"/>
            <w:shd w:val="clear" w:color="auto" w:fill="FFFFFF"/>
            <w:vAlign w:val="center"/>
          </w:tcPr>
          <w:p>
            <w:pPr>
              <w:widowControl/>
              <w:snapToGrid w:val="0"/>
              <w:spacing w:line="40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供应商同时具备质量管理体系认证、环境管理体系认证、职业健康安全管理体系认证的，得3分。</w:t>
            </w:r>
          </w:p>
          <w:p>
            <w:pPr>
              <w:widowControl/>
              <w:snapToGrid w:val="0"/>
              <w:spacing w:line="40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【注：供应商须提供有效期内的证书复印件，未提供的不得分。】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jc w:val="center"/>
        </w:trPr>
        <w:tc>
          <w:tcPr>
            <w:tcW w:w="1145" w:type="dxa"/>
            <w:shd w:val="clear" w:color="auto" w:fill="FFFFFF"/>
            <w:vAlign w:val="center"/>
          </w:tcPr>
          <w:p>
            <w:pPr>
              <w:widowControl/>
              <w:snapToGrid w:val="0"/>
              <w:spacing w:line="500" w:lineRule="exact"/>
              <w:jc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B2、信用等级情况</w:t>
            </w:r>
          </w:p>
        </w:tc>
        <w:tc>
          <w:tcPr>
            <w:tcW w:w="923" w:type="dxa"/>
            <w:shd w:val="clear" w:color="auto" w:fill="FFFFFF"/>
            <w:vAlign w:val="center"/>
          </w:tcPr>
          <w:p>
            <w:pPr>
              <w:widowControl/>
              <w:snapToGrid w:val="0"/>
              <w:spacing w:line="500" w:lineRule="exact"/>
              <w:jc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4</w:t>
            </w:r>
          </w:p>
        </w:tc>
        <w:tc>
          <w:tcPr>
            <w:tcW w:w="7115" w:type="dxa"/>
            <w:shd w:val="clear" w:color="auto" w:fill="FFFFFF"/>
            <w:vAlign w:val="center"/>
          </w:tcPr>
          <w:p>
            <w:pPr>
              <w:widowControl/>
              <w:snapToGrid w:val="0"/>
              <w:spacing w:line="40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根据供应商提供的福建省政府采购网的代理机构等级查询结果进行评审：</w:t>
            </w:r>
          </w:p>
          <w:p>
            <w:pPr>
              <w:widowControl/>
              <w:snapToGrid w:val="0"/>
              <w:spacing w:line="40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（1）供应商信用评价等级为A+，得4分；</w:t>
            </w:r>
          </w:p>
          <w:p>
            <w:pPr>
              <w:widowControl/>
              <w:snapToGrid w:val="0"/>
              <w:spacing w:line="40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（2）供应商信用评价等级为A，得3分；</w:t>
            </w:r>
          </w:p>
          <w:p>
            <w:pPr>
              <w:widowControl/>
              <w:snapToGrid w:val="0"/>
              <w:spacing w:line="40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（3）供应商信用评价等级为B，得2分；</w:t>
            </w:r>
          </w:p>
          <w:p>
            <w:pPr>
              <w:widowControl/>
              <w:snapToGrid w:val="0"/>
              <w:spacing w:line="40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（4）供应商信用评价等级为C，得1分。</w:t>
            </w:r>
          </w:p>
          <w:p>
            <w:pPr>
              <w:widowControl/>
              <w:snapToGrid w:val="0"/>
              <w:spacing w:line="40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【注：供应商须</w:t>
            </w:r>
            <w:r>
              <w:rPr>
                <w:rFonts w:hint="eastAsia" w:asciiTheme="minorEastAsia" w:hAnsiTheme="minorEastAsia" w:eastAsiaTheme="minorEastAsia" w:cstheme="minorEastAsia"/>
                <w:sz w:val="24"/>
              </w:rPr>
              <w:t>提供</w:t>
            </w:r>
            <w:r>
              <w:rPr>
                <w:rFonts w:hint="eastAsia" w:asciiTheme="minorEastAsia" w:hAnsiTheme="minorEastAsia" w:eastAsiaTheme="minorEastAsia" w:cstheme="minorEastAsia"/>
                <w:kern w:val="0"/>
                <w:sz w:val="24"/>
              </w:rPr>
              <w:t>代理机构综合信用评价查询截图，未提供的不得分。】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jc w:val="center"/>
        </w:trPr>
        <w:tc>
          <w:tcPr>
            <w:tcW w:w="1145" w:type="dxa"/>
            <w:vMerge w:val="restart"/>
            <w:shd w:val="clear" w:color="auto" w:fill="FFFFFF"/>
            <w:vAlign w:val="center"/>
          </w:tcPr>
          <w:p>
            <w:pPr>
              <w:widowControl/>
              <w:snapToGrid w:val="0"/>
              <w:spacing w:line="500" w:lineRule="exact"/>
              <w:jc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B3、业绩</w:t>
            </w:r>
          </w:p>
        </w:tc>
        <w:tc>
          <w:tcPr>
            <w:tcW w:w="923" w:type="dxa"/>
            <w:shd w:val="clear" w:color="auto" w:fill="FFFFFF"/>
            <w:vAlign w:val="center"/>
          </w:tcPr>
          <w:p>
            <w:pPr>
              <w:widowControl/>
              <w:snapToGrid w:val="0"/>
              <w:spacing w:line="500" w:lineRule="exact"/>
              <w:jc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7</w:t>
            </w:r>
          </w:p>
        </w:tc>
        <w:tc>
          <w:tcPr>
            <w:tcW w:w="7115" w:type="dxa"/>
            <w:shd w:val="clear" w:color="auto" w:fill="FFFFFF"/>
            <w:vAlign w:val="center"/>
          </w:tcPr>
          <w:p>
            <w:pPr>
              <w:widowControl/>
              <w:snapToGrid w:val="0"/>
              <w:spacing w:line="40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供应商提供自2019年1月1日至本项目提交响应文件截止时间止每完成一项不同采购人的货物类（非国际招标）公开招标的招标代理项目，得1分，满分7分。</w:t>
            </w:r>
          </w:p>
          <w:p>
            <w:pPr>
              <w:widowControl/>
              <w:snapToGrid w:val="0"/>
              <w:spacing w:line="400" w:lineRule="exact"/>
              <w:jc w:val="left"/>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注：供应商须同时提供中标（成交）公告(提供中国政府采购网中标（成交）公告的截图打印件并注明网址)、中标（成交）通知书复印件、采购人与招标代理机构签订的委托代理协议复印件，未同时提供以上证明材料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1145" w:type="dxa"/>
            <w:vMerge w:val="continue"/>
            <w:shd w:val="clear" w:color="auto" w:fill="FFFFFF"/>
            <w:vAlign w:val="center"/>
          </w:tcPr>
          <w:p>
            <w:pPr>
              <w:widowControl/>
              <w:snapToGrid w:val="0"/>
              <w:spacing w:line="500" w:lineRule="exact"/>
              <w:jc w:val="left"/>
              <w:rPr>
                <w:rFonts w:asciiTheme="minorEastAsia" w:hAnsiTheme="minorEastAsia" w:eastAsiaTheme="minorEastAsia" w:cstheme="minorEastAsia"/>
                <w:kern w:val="0"/>
                <w:sz w:val="24"/>
                <w:lang w:bidi="ar"/>
              </w:rPr>
            </w:pPr>
          </w:p>
        </w:tc>
        <w:tc>
          <w:tcPr>
            <w:tcW w:w="923" w:type="dxa"/>
            <w:shd w:val="clear" w:color="auto" w:fill="FFFFFF"/>
            <w:vAlign w:val="center"/>
          </w:tcPr>
          <w:p>
            <w:pPr>
              <w:widowControl/>
              <w:snapToGrid w:val="0"/>
              <w:spacing w:line="500" w:lineRule="exact"/>
              <w:jc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7</w:t>
            </w:r>
          </w:p>
        </w:tc>
        <w:tc>
          <w:tcPr>
            <w:tcW w:w="7115" w:type="dxa"/>
            <w:shd w:val="clear" w:color="auto" w:fill="FFFFFF"/>
            <w:vAlign w:val="center"/>
          </w:tcPr>
          <w:p>
            <w:pPr>
              <w:widowControl/>
              <w:snapToGrid w:val="0"/>
              <w:spacing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供应商提供自2019年1月1日至本项目提交响应文件截止时间止每完成一项不同采购人的服务类公开招标的招标代理项目，得1分，满分7分。</w:t>
            </w:r>
            <w:r>
              <w:rPr>
                <w:rFonts w:hint="eastAsia" w:asciiTheme="minorEastAsia" w:hAnsiTheme="minorEastAsia" w:eastAsiaTheme="minorEastAsia" w:cstheme="minorEastAsia"/>
                <w:kern w:val="0"/>
                <w:sz w:val="24"/>
                <w:lang w:bidi="ar"/>
              </w:rPr>
              <w:t>【注：供应商须同时提供中标（成交）公告(提供中国政府采购网中标（成交）公告的截图打印件并注明网址)、中标（成交）通知书复印件、采购人与招标代理机构签订的委托代理协议复印件，未同时提供以上证明材料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atLeast"/>
          <w:jc w:val="center"/>
        </w:trPr>
        <w:tc>
          <w:tcPr>
            <w:tcW w:w="1145" w:type="dxa"/>
            <w:shd w:val="clear" w:color="auto" w:fill="FFFFFF"/>
            <w:vAlign w:val="center"/>
          </w:tcPr>
          <w:p>
            <w:pPr>
              <w:widowControl/>
              <w:snapToGrid w:val="0"/>
              <w:spacing w:line="500" w:lineRule="exact"/>
              <w:jc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B4、满意度情况</w:t>
            </w:r>
          </w:p>
        </w:tc>
        <w:tc>
          <w:tcPr>
            <w:tcW w:w="923" w:type="dxa"/>
            <w:shd w:val="clear" w:color="auto" w:fill="FFFFFF"/>
            <w:vAlign w:val="center"/>
          </w:tcPr>
          <w:p>
            <w:pPr>
              <w:widowControl/>
              <w:snapToGrid w:val="0"/>
              <w:spacing w:line="500" w:lineRule="exact"/>
              <w:jc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4</w:t>
            </w:r>
          </w:p>
        </w:tc>
        <w:tc>
          <w:tcPr>
            <w:tcW w:w="7115" w:type="dxa"/>
            <w:shd w:val="clear" w:color="auto" w:fill="FFFFFF"/>
            <w:vAlign w:val="center"/>
          </w:tcPr>
          <w:p>
            <w:pPr>
              <w:widowControl/>
              <w:snapToGrid w:val="0"/>
              <w:spacing w:line="40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根据供应商提供的自2019年1月1日至本项目提交响应文件截止时间止已完成的不同采购人的政府采购项目（货物或服务类）的满意度情况，由磋商小组进行评分：每提供一份得1分，满分4分。未提供不得分。</w:t>
            </w:r>
          </w:p>
          <w:p>
            <w:pPr>
              <w:widowControl/>
              <w:snapToGrid w:val="0"/>
              <w:spacing w:line="40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注：供应商须同时提供中标（成交）公告(提供中国政府采购网中标（成交）公告的截图打印件并注明网址)、中标（成交）通知书复印件、采购人与招标代理机构签订的委托代理协议复印件，以及该业绩项目已经采购人工作满意度评价为优、满意等正面评价的相关证明文件复印件，未同时提供以上证明材料的本项不得分。】</w:t>
            </w:r>
          </w:p>
        </w:tc>
      </w:tr>
    </w:tbl>
    <w:p>
      <w:pPr>
        <w:pStyle w:val="18"/>
        <w:widowControl/>
        <w:adjustRightInd w:val="0"/>
        <w:spacing w:beforeAutospacing="0" w:after="150" w:afterAutospacing="0" w:line="420" w:lineRule="atLeast"/>
        <w:ind w:firstLine="241" w:firstLineChars="100"/>
        <w:rPr>
          <w:color w:val="000000" w:themeColor="text1"/>
          <w14:textFill>
            <w14:solidFill>
              <w14:schemeClr w14:val="tx1"/>
            </w14:solidFill>
          </w14:textFill>
        </w:rPr>
      </w:pPr>
      <w:r>
        <w:rPr>
          <w:rStyle w:val="24"/>
          <w:rFonts w:hint="eastAsia" w:ascii="宋体" w:hAnsi="宋体" w:cs="宋体"/>
          <w:bCs/>
          <w:color w:val="000000" w:themeColor="text1"/>
          <w14:textFill>
            <w14:solidFill>
              <w14:schemeClr w14:val="tx1"/>
            </w14:solidFill>
          </w14:textFill>
        </w:rPr>
        <w:t>（三）报价部分评分</w:t>
      </w:r>
      <w:r>
        <w:rPr>
          <w:rStyle w:val="24"/>
          <w:rFonts w:hint="eastAsia" w:ascii="宋体" w:hAnsi="宋体" w:cs="宋体"/>
          <w:shd w:val="clear" w:color="auto" w:fill="FFFFFF"/>
        </w:rPr>
        <w:t>PF</w:t>
      </w:r>
      <w:r>
        <w:rPr>
          <w:rStyle w:val="24"/>
          <w:rFonts w:hint="eastAsia" w:ascii="宋体" w:hAnsi="宋体" w:cs="宋体"/>
          <w:bCs/>
          <w:color w:val="000000" w:themeColor="text1"/>
          <w14:textFill>
            <w14:solidFill>
              <w14:schemeClr w14:val="tx1"/>
            </w14:solidFill>
          </w14:textFill>
        </w:rPr>
        <w:t xml:space="preserve">     满分</w:t>
      </w:r>
      <w:r>
        <w:rPr>
          <w:rStyle w:val="24"/>
          <w:rFonts w:hint="eastAsia" w:ascii="宋体" w:hAnsi="宋体" w:cs="宋体"/>
          <w:bCs/>
          <w:color w:val="000000" w:themeColor="text1"/>
          <w:u w:val="single"/>
          <w14:textFill>
            <w14:solidFill>
              <w14:schemeClr w14:val="tx1"/>
            </w14:solidFill>
          </w14:textFill>
        </w:rPr>
        <w:t>10</w:t>
      </w:r>
      <w:r>
        <w:rPr>
          <w:rStyle w:val="24"/>
          <w:rFonts w:hint="eastAsia" w:ascii="宋体" w:hAnsi="宋体" w:cs="宋体"/>
          <w:bCs/>
          <w:color w:val="000000" w:themeColor="text1"/>
          <w14:textFill>
            <w14:solidFill>
              <w14:schemeClr w14:val="tx1"/>
            </w14:solidFill>
          </w14:textFill>
        </w:rPr>
        <w:t>分</w:t>
      </w:r>
    </w:p>
    <w:p>
      <w:pPr>
        <w:pStyle w:val="18"/>
        <w:widowControl/>
        <w:adjustRightInd w:val="0"/>
        <w:snapToGrid w:val="0"/>
        <w:spacing w:beforeAutospacing="0" w:afterAutospacing="0" w:line="500" w:lineRule="exact"/>
        <w:ind w:firstLine="480"/>
        <w:rPr>
          <w:rFonts w:ascii="宋体" w:hAnsi="宋体" w:cs="宋体"/>
        </w:rPr>
      </w:pPr>
      <w:r>
        <w:rPr>
          <w:rFonts w:hint="eastAsia" w:ascii="宋体" w:hAnsi="宋体" w:cs="宋体"/>
        </w:rPr>
        <w:t>1.价格分采用低价优先法计算，即满足磋商文件要求且最后报价最低的供应商的价格（折扣率）为磋商基准价，其价格分为满分。其他供应商的价格分统一按照下列公式计算：磋商报价得分=（磋商基准价／最后磋商报价）×10。</w:t>
      </w:r>
    </w:p>
    <w:p>
      <w:pPr>
        <w:pStyle w:val="18"/>
        <w:widowControl/>
        <w:adjustRightInd w:val="0"/>
        <w:snapToGrid w:val="0"/>
        <w:spacing w:beforeAutospacing="0" w:afterAutospacing="0" w:line="500" w:lineRule="exact"/>
        <w:ind w:firstLine="480"/>
        <w:jc w:val="both"/>
        <w:rPr>
          <w:rFonts w:ascii="宋体" w:hAnsi="宋体" w:cs="宋体"/>
        </w:rPr>
      </w:pPr>
      <w:r>
        <w:rPr>
          <w:rFonts w:hint="eastAsia" w:ascii="宋体" w:hAnsi="宋体" w:cs="宋体"/>
        </w:rPr>
        <w:t>注：供应商应以折扣率方式进行报价。供应商应参照《国家计委关于印发招标代理服务收费管理暂行办法的通知（计价格〔2002〕1980号）》《国家发展改革委办公厅关于招标代理服务收费有关问题的通知（发改办价格〔2003〕857号）》等文件，结合行业收费标准及公司实际情况确定招标代理服务收费的折扣率。例如供应商所报折扣率为85%（即85折），则其收费标准为前述文件收费标准×（85%）。合同期间如遇政策调整，则按采购人调整后的标准执行。</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2.成交候选人排列规则顺序和并列相同时的处理约定如下：</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a.成交候选人按照综合评审总得分(P)由高到低顺序排列推荐。</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b.综合评审总得分(P)相同的，按照经评审最后磋商报价由低到高顺序推荐。</w:t>
      </w:r>
    </w:p>
    <w:p>
      <w:pPr>
        <w:pStyle w:val="18"/>
        <w:widowControl/>
        <w:adjustRightInd w:val="0"/>
        <w:snapToGrid w:val="0"/>
        <w:spacing w:beforeAutospacing="0" w:afterAutospacing="0" w:line="500" w:lineRule="exact"/>
        <w:ind w:firstLine="465"/>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c.综合评审总得分(P)且经评审最后磋商报价仍然相同的，按照技术部分得分由高到低的顺序推荐。</w:t>
      </w:r>
    </w:p>
    <w:p>
      <w:pPr>
        <w:pStyle w:val="18"/>
        <w:widowControl/>
        <w:adjustRightInd w:val="0"/>
        <w:snapToGrid w:val="0"/>
        <w:spacing w:beforeAutospacing="0" w:afterAutospacing="0" w:line="500" w:lineRule="exact"/>
        <w:ind w:firstLine="465"/>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d.经前述顺序处理仍然并列相同的，则由磋商小组通过随机抽取方式确定优先顺序推荐。</w:t>
      </w:r>
    </w:p>
    <w:p>
      <w:pPr>
        <w:pStyle w:val="18"/>
        <w:widowControl/>
        <w:adjustRightInd w:val="0"/>
        <w:snapToGrid w:val="0"/>
        <w:spacing w:beforeAutospacing="0" w:afterAutospacing="0" w:line="500" w:lineRule="exact"/>
        <w:jc w:val="center"/>
        <w:rPr>
          <w:rFonts w:ascii="宋体" w:hAnsi="宋体" w:cs="宋体"/>
          <w:color w:val="000000" w:themeColor="text1"/>
          <w14:textFill>
            <w14:solidFill>
              <w14:schemeClr w14:val="tx1"/>
            </w14:solidFill>
          </w14:textFill>
        </w:rPr>
      </w:pPr>
      <w:bookmarkStart w:id="16" w:name="_Toc7648"/>
      <w:r>
        <w:rPr>
          <w:rStyle w:val="24"/>
          <w:rFonts w:hint="eastAsia" w:ascii="宋体" w:hAnsi="宋体" w:cs="宋体"/>
          <w:color w:val="000000" w:themeColor="text1"/>
          <w:shd w:val="clear" w:color="auto" w:fill="FFFFFF"/>
          <w14:textFill>
            <w14:solidFill>
              <w14:schemeClr w14:val="tx1"/>
            </w14:solidFill>
          </w14:textFill>
        </w:rPr>
        <w:t>四、评审报告</w:t>
      </w:r>
      <w:bookmarkEnd w:id="16"/>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4.1磋商小组完成评审后，应当编写评审报告并提交给采购人。</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4.2评审报告应当包括以下主要内容：</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(一)邀请供应商参加采购活动的具体方式和相关情况；</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(二)响应文件开启日期和地点；</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(三)获取磋商文件的供应商名单和磋商小组成员名单；</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(四)评审情况记录和说明，包括对供应商的资格审查情况、供应商响应文件评审情况、磋商情况、报价情况等；</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(五)提出的成交候选人的排序名单及理由。</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4.3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8"/>
        <w:widowControl/>
        <w:adjustRightInd w:val="0"/>
        <w:snapToGrid w:val="0"/>
        <w:spacing w:beforeAutospacing="0" w:afterAutospacing="0" w:line="500" w:lineRule="exact"/>
        <w:jc w:val="center"/>
        <w:outlineLvl w:val="1"/>
        <w:rPr>
          <w:rFonts w:ascii="宋体" w:hAnsi="宋体" w:cs="宋体"/>
          <w:color w:val="000000" w:themeColor="text1"/>
          <w14:textFill>
            <w14:solidFill>
              <w14:schemeClr w14:val="tx1"/>
            </w14:solidFill>
          </w14:textFill>
        </w:rPr>
      </w:pPr>
      <w:bookmarkStart w:id="17" w:name="_Toc24146"/>
      <w:r>
        <w:rPr>
          <w:rStyle w:val="24"/>
          <w:rFonts w:hint="eastAsia" w:ascii="宋体" w:hAnsi="宋体" w:cs="宋体"/>
          <w:color w:val="000000" w:themeColor="text1"/>
          <w:shd w:val="clear" w:color="auto" w:fill="FFFFFF"/>
          <w14:textFill>
            <w14:solidFill>
              <w14:schemeClr w14:val="tx1"/>
            </w14:solidFill>
          </w14:textFill>
        </w:rPr>
        <w:t>五、其他规定</w:t>
      </w:r>
      <w:bookmarkEnd w:id="17"/>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5.1其他规定</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5.1.1评审应全程保密且不得透露给任一供应商或与评审工作无关的人员。</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5.1.2评审将进行全程实时录音录像，录音录像资料随采购文件一并存档。</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5.1.3若供应商有任何试图干扰具体评审事务，影响磋商小组独立履行职责的行为，其响应无效且不予退还磋商保证金。情节严重的，由财政部门列入不良行为记录。</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5.1.4根据采购项目的特点和需要，需要加以详细说明的其他磋商程序规定、要求等内容：</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无。</w:t>
      </w:r>
    </w:p>
    <w:p>
      <w:pPr>
        <w:pStyle w:val="18"/>
        <w:widowControl/>
        <w:adjustRightInd w:val="0"/>
        <w:snapToGrid w:val="0"/>
        <w:spacing w:beforeAutospacing="0" w:afterAutospacing="0" w:line="500" w:lineRule="exact"/>
        <w:jc w:val="center"/>
        <w:outlineLvl w:val="1"/>
        <w:rPr>
          <w:rFonts w:ascii="宋体" w:hAnsi="宋体" w:cs="宋体"/>
          <w:color w:val="000000" w:themeColor="text1"/>
          <w14:textFill>
            <w14:solidFill>
              <w14:schemeClr w14:val="tx1"/>
            </w14:solidFill>
          </w14:textFill>
        </w:rPr>
      </w:pPr>
      <w:bookmarkStart w:id="18" w:name="_Toc2465"/>
      <w:r>
        <w:rPr>
          <w:rStyle w:val="24"/>
          <w:rFonts w:hint="eastAsia" w:ascii="宋体" w:hAnsi="宋体" w:cs="宋体"/>
          <w:color w:val="000000" w:themeColor="text1"/>
          <w:shd w:val="clear" w:color="auto" w:fill="FFFFFF"/>
          <w14:textFill>
            <w14:solidFill>
              <w14:schemeClr w14:val="tx1"/>
            </w14:solidFill>
          </w14:textFill>
        </w:rPr>
        <w:t>第2节 竞争性磋商须知 </w:t>
      </w:r>
      <w:bookmarkEnd w:id="18"/>
    </w:p>
    <w:p>
      <w:pPr>
        <w:pStyle w:val="18"/>
        <w:widowControl/>
        <w:adjustRightInd w:val="0"/>
        <w:snapToGrid w:val="0"/>
        <w:spacing w:beforeAutospacing="0" w:afterAutospacing="0" w:line="500" w:lineRule="exact"/>
        <w:jc w:val="center"/>
        <w:outlineLvl w:val="1"/>
        <w:rPr>
          <w:rFonts w:ascii="宋体" w:hAnsi="宋体" w:cs="宋体"/>
          <w:color w:val="000000" w:themeColor="text1"/>
          <w14:textFill>
            <w14:solidFill>
              <w14:schemeClr w14:val="tx1"/>
            </w14:solidFill>
          </w14:textFill>
        </w:rPr>
      </w:pPr>
      <w:bookmarkStart w:id="19" w:name="_Toc30324"/>
      <w:r>
        <w:rPr>
          <w:rStyle w:val="24"/>
          <w:rFonts w:hint="eastAsia" w:ascii="宋体" w:hAnsi="宋体" w:cs="宋体"/>
          <w:color w:val="000000" w:themeColor="text1"/>
          <w:shd w:val="clear" w:color="auto" w:fill="FFFFFF"/>
          <w14:textFill>
            <w14:solidFill>
              <w14:schemeClr w14:val="tx1"/>
            </w14:solidFill>
          </w14:textFill>
        </w:rPr>
        <w:t>一、总则</w:t>
      </w:r>
      <w:bookmarkEnd w:id="19"/>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1.适用范围：</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1.1适用于磋商文件载明项目的采购活动(以下简称：“本次采购活动”)。</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2.定义及要求：</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2.1“采购标的”指磋商文件载明的需要采购的货物、服务、工程。</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2.2“采购人”指本次采购项目的买方、或业主方、或甲方，具体见磋商文件第一章；“采购代理机构”系指接受采购人委托，组织开展竞争性磋商采购活动的代理机构，具体见磋商文件第一章。</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2.3“潜在供应商”按照磋商文件第一章规定进行报名，且有意向参加本项目响应磋商的供应商。</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2.4“供应商”指按照磋商文件第一章规定进行报名，且已经提交响应文件的法人或其他组织或自然人。只有适合自然人参与和承接的政府采购项目，供应商才可以是自然人。</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2.5“单位负责人”指单位法定代表人(供应商为法人的)或法律、法规规定代表单位行使职权的主要负责人(供应商为其他组织的)。</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2.6“供应商代表”指供应商(为法人或其他组织的)的单位负责人或由其授权的委托代理人，即单位负责人授权书中载明的接受授权方。供应商为自然人的，由本人签字并附身份证明。</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3.合格的</w:t>
      </w:r>
      <w:r>
        <w:rPr>
          <w:rFonts w:hint="eastAsia" w:ascii="宋体" w:hAnsi="宋体" w:cs="宋体"/>
          <w:b/>
          <w:color w:val="000000" w:themeColor="text1"/>
          <w:shd w:val="clear" w:color="auto" w:fill="FFFFFF"/>
          <w14:textFill>
            <w14:solidFill>
              <w14:schemeClr w14:val="tx1"/>
            </w14:solidFill>
          </w14:textFill>
        </w:rPr>
        <w:t>供应商</w:t>
      </w:r>
      <w:r>
        <w:rPr>
          <w:rStyle w:val="24"/>
          <w:rFonts w:hint="eastAsia" w:ascii="宋体" w:hAnsi="宋体" w:cs="宋体"/>
          <w:color w:val="000000" w:themeColor="text1"/>
          <w:shd w:val="clear" w:color="auto" w:fill="FFFFFF"/>
          <w14:textFill>
            <w14:solidFill>
              <w14:schemeClr w14:val="tx1"/>
            </w14:solidFill>
          </w14:textFill>
        </w:rPr>
        <w:t>：</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3.1一般规定</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3.1.1供应商应当遵守中国的有关法律、法规和规章的规定，参加政府采购活动时已经自觉检查并按照政府采购相关法律规定，主动回避相应利害关系。</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3.1.2为采购项目提供整体设计、规范编制或项目管理、监理、检测等服务的供应商，不得再参加该采购项目除整体设计、规范编制和项目管理、监理、检测等服务之外的其他采购活动</w:t>
      </w:r>
      <w:r>
        <w:rPr>
          <w:rStyle w:val="24"/>
          <w:rFonts w:hint="eastAsia" w:ascii="宋体" w:hAnsi="宋体" w:cs="宋体"/>
          <w:color w:val="000000" w:themeColor="text1"/>
          <w:shd w:val="clear" w:color="auto" w:fill="FFFFFF"/>
          <w14:textFill>
            <w14:solidFill>
              <w14:schemeClr w14:val="tx1"/>
            </w14:solidFill>
          </w14:textFill>
        </w:rPr>
        <w:t>。</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3.1.3列入失信被执行人、重大税收违法案件当事人名单、政府采购严重违法失信行为记录名单及其他不符合《中华人民共和国政府采购法》第二十二条规定条件的供应商，不得参加政府采购活动</w:t>
      </w:r>
      <w:r>
        <w:rPr>
          <w:rStyle w:val="24"/>
          <w:rFonts w:hint="eastAsia" w:ascii="宋体" w:hAnsi="宋体" w:cs="宋体"/>
          <w:color w:val="000000" w:themeColor="text1"/>
          <w:shd w:val="clear" w:color="auto" w:fill="FFFFFF"/>
          <w14:textFill>
            <w14:solidFill>
              <w14:schemeClr w14:val="tx1"/>
            </w14:solidFill>
          </w14:textFill>
        </w:rPr>
        <w:t>。</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供应商有责任检查自身情况，在响应文件中对是否违反以上一般规定做出如实声明，否则其响应文件将被否决。</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3.2特别规定</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3.2.1供应商的资格要求：详见竞争性磋商须知前附表第</w:t>
      </w:r>
      <w:r>
        <w:rPr>
          <w:rFonts w:hint="eastAsia" w:ascii="宋体" w:hAnsi="宋体" w:cs="宋体"/>
          <w:color w:val="000000" w:themeColor="text1"/>
          <w:u w:val="single"/>
          <w:shd w:val="clear" w:color="auto" w:fill="FFFFFF"/>
          <w14:textFill>
            <w14:solidFill>
              <w14:schemeClr w14:val="tx1"/>
            </w14:solidFill>
          </w14:textFill>
        </w:rPr>
        <w:t>1</w:t>
      </w:r>
      <w:r>
        <w:rPr>
          <w:rFonts w:hint="eastAsia" w:ascii="宋体" w:hAnsi="宋体" w:cs="宋体"/>
          <w:color w:val="000000" w:themeColor="text1"/>
          <w:shd w:val="clear" w:color="auto" w:fill="FFFFFF"/>
          <w14:textFill>
            <w14:solidFill>
              <w14:schemeClr w14:val="tx1"/>
            </w14:solidFill>
          </w14:textFill>
        </w:rPr>
        <w:t>项。</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3.2.2是否接受联合体形式的响应磋商：详见竞争性磋商须知前附表第</w:t>
      </w:r>
      <w:r>
        <w:rPr>
          <w:rFonts w:hint="eastAsia" w:ascii="宋体" w:hAnsi="宋体" w:cs="宋体"/>
          <w:color w:val="000000" w:themeColor="text1"/>
          <w:u w:val="single"/>
          <w:shd w:val="clear" w:color="auto" w:fill="FFFFFF"/>
          <w14:textFill>
            <w14:solidFill>
              <w14:schemeClr w14:val="tx1"/>
            </w14:solidFill>
          </w14:textFill>
        </w:rPr>
        <w:t>2</w:t>
      </w:r>
      <w:r>
        <w:rPr>
          <w:rFonts w:hint="eastAsia" w:ascii="宋体" w:hAnsi="宋体" w:cs="宋体"/>
          <w:color w:val="000000" w:themeColor="text1"/>
          <w:shd w:val="clear" w:color="auto" w:fill="FFFFFF"/>
          <w14:textFill>
            <w14:solidFill>
              <w14:schemeClr w14:val="tx1"/>
            </w14:solidFill>
          </w14:textFill>
        </w:rPr>
        <w:t>项。若接受联合体形式且供应商为联合体，则联合体各方除了应遵守本章第3.1条规定外，还应遵守下列规定：</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(1)联合体各方应提交联合体协议，联合体协议应符合磋商文件规定。</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(2)联合体各方不得再单独参加或与其他供应商另外组成联合体参加同一合同项下的响应磋商。</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(3)联合体各方应共同与采购人签订政府采购合同，就政府采购合同约定的事项对采购人承担连带责任。</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4.参与竞争性磋商费用：</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4.1除法律法规或采购文件另有规定之外，供应商应自行承担其准备与参加竞争性磋商所涉及的一切费用。</w:t>
      </w:r>
    </w:p>
    <w:p>
      <w:pPr>
        <w:pStyle w:val="18"/>
        <w:widowControl/>
        <w:adjustRightInd w:val="0"/>
        <w:snapToGrid w:val="0"/>
        <w:spacing w:beforeAutospacing="0" w:afterAutospacing="0" w:line="500" w:lineRule="exact"/>
        <w:jc w:val="center"/>
        <w:outlineLvl w:val="1"/>
        <w:rPr>
          <w:rFonts w:ascii="宋体" w:hAnsi="宋体" w:cs="宋体"/>
          <w:color w:val="000000" w:themeColor="text1"/>
          <w14:textFill>
            <w14:solidFill>
              <w14:schemeClr w14:val="tx1"/>
            </w14:solidFill>
          </w14:textFill>
        </w:rPr>
      </w:pPr>
      <w:bookmarkStart w:id="20" w:name="_Toc1451"/>
      <w:r>
        <w:rPr>
          <w:rStyle w:val="24"/>
          <w:rFonts w:hint="eastAsia" w:ascii="宋体" w:hAnsi="宋体" w:cs="宋体"/>
          <w:color w:val="000000" w:themeColor="text1"/>
          <w:shd w:val="clear" w:color="auto" w:fill="FFFFFF"/>
          <w14:textFill>
            <w14:solidFill>
              <w14:schemeClr w14:val="tx1"/>
            </w14:solidFill>
          </w14:textFill>
        </w:rPr>
        <w:t>二、竞争性磋商文件</w:t>
      </w:r>
      <w:bookmarkEnd w:id="20"/>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5.竞争性磋商文件的组成：</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5.1竞争性磋商文件由下述部分组成：</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第一章 采购公告(或采购邀请书)</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第二章 竞争性磋商须知</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第三章 采购内容及要求</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第四章 合同主要条款及格式</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第五章 首次响应文件格式</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5.2除上述内容以外，采购人、采购代理机构或者磋商小组在采购过程期间对磋商文件所作的澄清、修改或补充，均构成磋商文件的组成部分，对采购人和供应商具有约束力。</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6.竞争性磋商文件的澄清、补充、修改及现场考察等：</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cs="宋体"/>
          <w:color w:val="000000" w:themeColor="text1"/>
          <w:u w:val="single"/>
          <w:shd w:val="clear" w:color="auto" w:fill="FFFFFF"/>
          <w14:textFill>
            <w14:solidFill>
              <w14:schemeClr w14:val="tx1"/>
            </w14:solidFill>
          </w14:textFill>
        </w:rPr>
        <w:t>3</w:t>
      </w:r>
      <w:r>
        <w:rPr>
          <w:rFonts w:hint="eastAsia" w:ascii="宋体" w:hAnsi="宋体" w:cs="宋体"/>
          <w:color w:val="000000" w:themeColor="text1"/>
          <w:shd w:val="clear" w:color="auto" w:fill="FFFFFF"/>
          <w14:textFill>
            <w14:solidFill>
              <w14:schemeClr w14:val="tx1"/>
            </w14:solidFill>
          </w14:textFill>
        </w:rPr>
        <w:t>项。</w:t>
      </w:r>
    </w:p>
    <w:p>
      <w:pPr>
        <w:pStyle w:val="18"/>
        <w:widowControl/>
        <w:adjustRightInd w:val="0"/>
        <w:snapToGrid w:val="0"/>
        <w:spacing w:beforeAutospacing="0" w:afterAutospacing="0" w:line="500" w:lineRule="exact"/>
        <w:jc w:val="center"/>
        <w:outlineLvl w:val="1"/>
        <w:rPr>
          <w:rFonts w:ascii="宋体" w:hAnsi="宋体" w:cs="宋体"/>
          <w:color w:val="000000" w:themeColor="text1"/>
          <w14:textFill>
            <w14:solidFill>
              <w14:schemeClr w14:val="tx1"/>
            </w14:solidFill>
          </w14:textFill>
        </w:rPr>
      </w:pPr>
      <w:bookmarkStart w:id="21" w:name="_Toc12579"/>
      <w:r>
        <w:rPr>
          <w:rStyle w:val="24"/>
          <w:rFonts w:hint="eastAsia" w:ascii="宋体" w:hAnsi="宋体" w:cs="宋体"/>
          <w:color w:val="000000" w:themeColor="text1"/>
          <w:shd w:val="clear" w:color="auto" w:fill="FFFFFF"/>
          <w14:textFill>
            <w14:solidFill>
              <w14:schemeClr w14:val="tx1"/>
            </w14:solidFill>
          </w14:textFill>
        </w:rPr>
        <w:t>三、响应文件编制</w:t>
      </w:r>
      <w:bookmarkEnd w:id="21"/>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7.应标要求</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7.2供应商代表在同一个合同项下只能接受一个供应商的委托参加响应磋商，否则其响应文件将被否决。</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7.3供应商应仔细阅读磋商文件的所有内容和要求，按磋商文件的规定提供响应文件，并对其所提供的全部资料、承诺和声明的真实性、合法性和准确性负责。</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7.4除非竞争性磋商须知前附表另有规定外，供应商提供的响应文件应使用中文文本，若有不同文字文本，以中文文本为准。</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7.6除非竞争性磋商须知前附表另有规定外，供应商承诺的报价应以人民币进行报价，合同实施结算时亦以人民币支付；所有计量均采用中华人民共和国法定计量单位。</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8.首次响应文件的组成：</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8.1首次响应文件包括但不限于下列部分：</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(1)响应声明</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(2)报价一览表</w:t>
      </w:r>
    </w:p>
    <w:p>
      <w:pPr>
        <w:pStyle w:val="18"/>
        <w:widowControl/>
        <w:adjustRightInd w:val="0"/>
        <w:snapToGrid w:val="0"/>
        <w:spacing w:beforeAutospacing="0" w:afterAutospacing="0" w:line="500" w:lineRule="exact"/>
        <w:ind w:firstLine="48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(3)资格证明文件</w:t>
      </w:r>
    </w:p>
    <w:p>
      <w:pPr>
        <w:pStyle w:val="18"/>
        <w:widowControl/>
        <w:adjustRightInd w:val="0"/>
        <w:snapToGrid w:val="0"/>
        <w:spacing w:beforeAutospacing="0" w:afterAutospacing="0" w:line="500" w:lineRule="exact"/>
        <w:ind w:firstLine="48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(4)磋商保证金凭证</w:t>
      </w:r>
    </w:p>
    <w:p>
      <w:pPr>
        <w:pStyle w:val="18"/>
        <w:widowControl/>
        <w:adjustRightInd w:val="0"/>
        <w:snapToGrid w:val="0"/>
        <w:spacing w:beforeAutospacing="0" w:afterAutospacing="0" w:line="500" w:lineRule="exact"/>
        <w:ind w:firstLine="48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(5)技术商务部分评审内容对应表</w:t>
      </w:r>
    </w:p>
    <w:p>
      <w:pPr>
        <w:pStyle w:val="18"/>
        <w:widowControl/>
        <w:adjustRightInd w:val="0"/>
        <w:snapToGrid w:val="0"/>
        <w:spacing w:beforeAutospacing="0" w:afterAutospacing="0" w:line="500" w:lineRule="exact"/>
        <w:ind w:firstLine="48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(6)技术和商务偏离表</w:t>
      </w:r>
    </w:p>
    <w:p>
      <w:pPr>
        <w:pStyle w:val="18"/>
        <w:widowControl/>
        <w:adjustRightInd w:val="0"/>
        <w:snapToGrid w:val="0"/>
        <w:spacing w:beforeAutospacing="0" w:afterAutospacing="0" w:line="500" w:lineRule="exact"/>
        <w:ind w:firstLine="48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(7)相关技术、商务、服务响应承诺及资料</w:t>
      </w:r>
    </w:p>
    <w:p>
      <w:pPr>
        <w:pStyle w:val="18"/>
        <w:widowControl/>
        <w:adjustRightInd w:val="0"/>
        <w:snapToGrid w:val="0"/>
        <w:spacing w:beforeAutospacing="0" w:afterAutospacing="0" w:line="500" w:lineRule="exact"/>
        <w:ind w:firstLine="48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(8)供应商提交的其他资料</w:t>
      </w:r>
    </w:p>
    <w:p>
      <w:pPr>
        <w:pStyle w:val="18"/>
        <w:widowControl/>
        <w:adjustRightInd w:val="0"/>
        <w:snapToGrid w:val="0"/>
        <w:spacing w:beforeAutospacing="0" w:afterAutospacing="0" w:line="500" w:lineRule="exact"/>
        <w:ind w:firstLine="48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(9)退还磋商保证金函</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9.响应文件有效期：</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9.1响应文件有效期见竞争性磋商须知前附表第</w:t>
      </w:r>
      <w:r>
        <w:rPr>
          <w:rFonts w:hint="eastAsia" w:ascii="宋体" w:hAnsi="宋体" w:cs="宋体"/>
          <w:color w:val="000000" w:themeColor="text1"/>
          <w:u w:val="single"/>
          <w:shd w:val="clear" w:color="auto" w:fill="FFFFFF"/>
          <w14:textFill>
            <w14:solidFill>
              <w14:schemeClr w14:val="tx1"/>
            </w14:solidFill>
          </w14:textFill>
        </w:rPr>
        <w:t>4</w:t>
      </w:r>
      <w:r>
        <w:rPr>
          <w:rFonts w:hint="eastAsia" w:ascii="宋体" w:hAnsi="宋体" w:cs="宋体"/>
          <w:color w:val="000000" w:themeColor="text1"/>
          <w:shd w:val="clear" w:color="auto" w:fill="FFFFFF"/>
          <w14:textFill>
            <w14:solidFill>
              <w14:schemeClr w14:val="tx1"/>
            </w14:solidFill>
          </w14:textFill>
        </w:rPr>
        <w:t>项，响应文件承诺的有效期不得少于磋商文件载明的有效期，</w:t>
      </w:r>
      <w:r>
        <w:rPr>
          <w:rStyle w:val="24"/>
          <w:rFonts w:hint="eastAsia" w:ascii="宋体" w:hAnsi="宋体" w:cs="宋体"/>
          <w:color w:val="000000" w:themeColor="text1"/>
          <w:shd w:val="clear" w:color="auto" w:fill="FFFFFF"/>
          <w14:textFill>
            <w14:solidFill>
              <w14:schemeClr w14:val="tx1"/>
            </w14:solidFill>
          </w14:textFill>
        </w:rPr>
        <w:t>否则其响应文件将被否决。</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10.磋商保证金：</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10.1供应商应在参加竞争性磋商之前按竞争性磋商须知前附表第</w:t>
      </w:r>
      <w:r>
        <w:rPr>
          <w:rFonts w:hint="eastAsia" w:ascii="宋体" w:hAnsi="宋体" w:cs="宋体"/>
          <w:color w:val="000000" w:themeColor="text1"/>
          <w:u w:val="single"/>
          <w:shd w:val="clear" w:color="auto" w:fill="FFFFFF"/>
          <w14:textFill>
            <w14:solidFill>
              <w14:schemeClr w14:val="tx1"/>
            </w14:solidFill>
          </w14:textFill>
        </w:rPr>
        <w:t>5</w:t>
      </w:r>
      <w:r>
        <w:rPr>
          <w:rFonts w:hint="eastAsia" w:ascii="宋体" w:hAnsi="宋体" w:cs="宋体"/>
          <w:color w:val="000000" w:themeColor="text1"/>
          <w:shd w:val="clear" w:color="auto" w:fill="FFFFFF"/>
          <w14:textFill>
            <w14:solidFill>
              <w14:schemeClr w14:val="tx1"/>
            </w14:solidFill>
          </w14:textFill>
        </w:rPr>
        <w:t>项规定的金额、形式等要求提交磋商保证金。磋商文件若接受联合体形式且供应商为联合体的，则可以由联合体中的牵头方提交磋商保证金，其提交的磋商保证金对联合体各方均具有约束力。</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10.2磋商保证金为响应文件的重要组成部分之一。磋商保证金用于保护本次磋商活动免受供应商的违约或失信行为而引起的风险。未按规定提交磋商保证金的，</w:t>
      </w:r>
      <w:r>
        <w:rPr>
          <w:rStyle w:val="24"/>
          <w:rFonts w:hint="eastAsia" w:ascii="宋体" w:hAnsi="宋体" w:cs="宋体"/>
          <w:color w:val="000000" w:themeColor="text1"/>
          <w:shd w:val="clear" w:color="auto" w:fill="FFFFFF"/>
          <w14:textFill>
            <w14:solidFill>
              <w14:schemeClr w14:val="tx1"/>
            </w14:solidFill>
          </w14:textFill>
        </w:rPr>
        <w:t>其响应文件将被否决。</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10.3磋商保证金退还：</w:t>
      </w:r>
    </w:p>
    <w:p>
      <w:pPr>
        <w:pStyle w:val="18"/>
        <w:widowControl/>
        <w:adjustRightInd w:val="0"/>
        <w:snapToGrid w:val="0"/>
        <w:spacing w:beforeAutospacing="0" w:afterAutospacing="0" w:line="500" w:lineRule="exact"/>
        <w:ind w:firstLine="48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供应商的保证金将在成交通知书发出后5个工作日内退还，成交供应商的保证金将在采购合同签订后5个工作日内退还。关于磋商保证金退还的其它要求见竞争性磋商须知前附表第</w:t>
      </w:r>
      <w:r>
        <w:rPr>
          <w:rFonts w:hint="eastAsia" w:ascii="宋体" w:hAnsi="宋体" w:cs="宋体"/>
          <w:color w:val="000000" w:themeColor="text1"/>
          <w:u w:val="single"/>
          <w:shd w:val="clear" w:color="auto" w:fill="FFFFFF"/>
          <w14:textFill>
            <w14:solidFill>
              <w14:schemeClr w14:val="tx1"/>
            </w14:solidFill>
          </w14:textFill>
        </w:rPr>
        <w:t>6</w:t>
      </w:r>
      <w:r>
        <w:rPr>
          <w:rFonts w:hint="eastAsia" w:ascii="宋体" w:hAnsi="宋体" w:cs="宋体"/>
          <w:color w:val="000000" w:themeColor="text1"/>
          <w:shd w:val="clear" w:color="auto" w:fill="FFFFFF"/>
          <w14:textFill>
            <w14:solidFill>
              <w14:schemeClr w14:val="tx1"/>
            </w14:solidFill>
          </w14:textFill>
        </w:rPr>
        <w:t>项。</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10.4如果供应商发生以下任何一种情况时，其磋商保证金将被不予退还：</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(1)供应商在提交响应文件截止时间后撤回响应文件的；</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(2)供应商在响应文件中提供虚假材料的；</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(3)除因不可抗力或磋商文件认可的情形以外，成交供应商不与采购人签订合同的；</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(4)供应商与采购人、其他供应商或者采购代理机构恶意串通的；</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(5)供应商在提交最后报价后要求退出磋商的；</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(6)供应商假借以他人名义参加磋商或者以其他方式弄虚作假，骗取成交；</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(7)国家法律法规以及磋商文件中规定的其他磋商保证金不予退还的情形。</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上述不予退还磋商保证金的情况不能抵偿给采购人或采购代理机构造成损失的，供应商还要承担赔偿责任。</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11.响应文件基本编制要求：</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11.1供应商须编制由本须知规定组成的响应文件正副本份数详见竞争性磋商须知前附表第</w:t>
      </w:r>
      <w:r>
        <w:rPr>
          <w:rFonts w:hint="eastAsia" w:ascii="宋体" w:hAnsi="宋体" w:cs="宋体"/>
          <w:color w:val="000000" w:themeColor="text1"/>
          <w:u w:val="single"/>
          <w:shd w:val="clear" w:color="auto" w:fill="FFFFFF"/>
          <w14:textFill>
            <w14:solidFill>
              <w14:schemeClr w14:val="tx1"/>
            </w14:solidFill>
          </w14:textFill>
        </w:rPr>
        <w:t>7</w:t>
      </w:r>
      <w:r>
        <w:rPr>
          <w:rFonts w:hint="eastAsia" w:ascii="宋体" w:hAnsi="宋体" w:cs="宋体"/>
          <w:color w:val="000000" w:themeColor="text1"/>
          <w:shd w:val="clear" w:color="auto" w:fill="FFFFFF"/>
          <w14:textFill>
            <w14:solidFill>
              <w14:schemeClr w14:val="tx1"/>
            </w14:solidFill>
          </w14:textFill>
        </w:rPr>
        <w:t>项。响应文件正本和全部副本均应使用不能擦去的墨料或墨水打印、书写或复印，副本可以用正本的完整复印件。响应文件封面上应标明“正本”、“副本”字样。正本与副本内容如有不一致，则以正本为准。</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11.2响应文件应由供应商代表签字并加盖公章。供应商代表如果不是竞争性磋商须知中定义的“单位负责人”，则其响应文件中还必须提供“单位负责人授权书”。</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11.3响应文件应尽量避免涂改、行间插字或删除。如果出现上述情况，改动之处应加盖供应商单位公章或由供应商代表签字确认。</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11.4供应商应提交证明其拟提供服务符合磋商文件要求的技术和商务响应文件，该文件可以是文字资料、图纸和数据，并对拟提供的货物、服务或工程的主要内容进行详细描述。</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12.纸质响应文件的密封、标识、签署和提交</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12.1供应商应当将响应文件密封包装提交，并在外封套上标识项目名称、项目编号、供应商单位名称以及“于</w:t>
      </w:r>
      <w:r>
        <w:rPr>
          <w:rFonts w:hint="eastAsia" w:ascii="宋体" w:hAnsi="宋体" w:cs="宋体"/>
          <w:color w:val="000000" w:themeColor="text1"/>
          <w:u w:val="single"/>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8"/>
        <w:widowControl/>
        <w:adjustRightInd w:val="0"/>
        <w:snapToGrid w:val="0"/>
        <w:spacing w:beforeAutospacing="0" w:afterAutospacing="0"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12.2供应商应当在磋商文件规定的提交首次响应文件截止时间前，将首次响应文件密封送达磋商文件规定的指定地点。在截止时间后送达的首次响应文件为无效文件，采购人、采购代理机构或者磋商小组将不予接收。</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首次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18"/>
        <w:widowControl/>
        <w:adjustRightInd w:val="0"/>
        <w:snapToGrid w:val="0"/>
        <w:spacing w:beforeAutospacing="0" w:afterAutospacing="0" w:line="500" w:lineRule="exact"/>
        <w:jc w:val="center"/>
        <w:outlineLvl w:val="1"/>
        <w:rPr>
          <w:rFonts w:ascii="宋体" w:hAnsi="宋体" w:cs="宋体"/>
          <w:color w:val="000000" w:themeColor="text1"/>
          <w14:textFill>
            <w14:solidFill>
              <w14:schemeClr w14:val="tx1"/>
            </w14:solidFill>
          </w14:textFill>
        </w:rPr>
      </w:pPr>
      <w:bookmarkStart w:id="22" w:name="_Toc21713"/>
      <w:r>
        <w:rPr>
          <w:rStyle w:val="24"/>
          <w:rFonts w:hint="eastAsia" w:ascii="宋体" w:hAnsi="宋体" w:cs="宋体"/>
          <w:color w:val="000000" w:themeColor="text1"/>
          <w:shd w:val="clear" w:color="auto" w:fill="FFFFFF"/>
          <w14:textFill>
            <w14:solidFill>
              <w14:schemeClr w14:val="tx1"/>
            </w14:solidFill>
          </w14:textFill>
        </w:rPr>
        <w:t>四、竞争性磋商</w:t>
      </w:r>
      <w:bookmarkEnd w:id="22"/>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13.评审和磋商基本准则</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13.1对所有供应商的评审和磋商，都采用相同的程序和标准。</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13.2磋商及评审过程将严格按照磋商文件的要求和条件进行，磋商小组将根据供应商的响应文件，按磋商文件规定的磋商程序及评审的标准和方法进行评审、磋商，并推荐成交候选人。</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14.磋商程序以及评审标准和方法</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14.1采购人将根据项目的特点依法组建磋商小组。磋商小组将根据磋商文件规定的程序、评审标准和方法等内容对供应商进行评审、磋商。</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14.2.1供应商有下列情况之一者，其提交的响应文件将被视为未实质性响应磋商文件要求，磋商小组将否决其响应文件，按无效处理：</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(1)响应文件中提供的资格证明文件不全的；</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(2)响应文件未按磋商文件规定由供应商代表签字，或未按磋商文件规定加盖供应商单位公章的；或供应商代表未获得有效授权的；</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(3)供应商未按磋商文件规定提交磋商保证金的；</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(4)响应文件有效期不满足磋商文件要求的；</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(5)响应内容与磋商采购内容及要求有重大偏离或保留的，限制了采购人的权利或者减少成交供应商合同项下的义务；(由于磋商项目本身特点，不能详细列明采购标的的技术、服务要求的除外)；</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(6)响应文件中附有采购人无法接受的条件的；</w:t>
      </w:r>
    </w:p>
    <w:p>
      <w:pPr>
        <w:pStyle w:val="18"/>
        <w:widowControl/>
        <w:adjustRightInd w:val="0"/>
        <w:snapToGrid w:val="0"/>
        <w:spacing w:beforeAutospacing="0" w:afterAutospacing="0" w:line="500" w:lineRule="exact"/>
        <w:ind w:firstLine="48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(7)不符合磋商文件中规定的其它实质性条款(比如：报价超过了磋商文件规定的最高限价)。</w:t>
      </w:r>
    </w:p>
    <w:p>
      <w:pPr>
        <w:pStyle w:val="18"/>
        <w:widowControl/>
        <w:adjustRightInd w:val="0"/>
        <w:snapToGrid w:val="0"/>
        <w:spacing w:beforeAutospacing="0" w:afterAutospacing="0" w:line="500" w:lineRule="exact"/>
        <w:ind w:firstLine="48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14.2.2其他情形</w:t>
      </w:r>
    </w:p>
    <w:tbl>
      <w:tblPr>
        <w:tblStyle w:val="21"/>
        <w:tblW w:w="8827"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82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8827" w:type="dxa"/>
            <w:tcBorders>
              <w:top w:val="single" w:color="666666" w:sz="6" w:space="0"/>
              <w:left w:val="single" w:color="666666" w:sz="6" w:space="0"/>
              <w:bottom w:val="single" w:color="666666" w:sz="6" w:space="0"/>
              <w:right w:val="single" w:color="666666" w:sz="6" w:space="0"/>
            </w:tcBorders>
            <w:shd w:val="clear" w:color="auto" w:fill="auto"/>
            <w:noWrap/>
            <w:vAlign w:val="center"/>
          </w:tcPr>
          <w:p>
            <w:pPr>
              <w:widowControl/>
              <w:adjustRightInd w:val="0"/>
              <w:snapToGrid w:val="0"/>
              <w:spacing w:line="500" w:lineRule="exact"/>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827" w:type="dxa"/>
            <w:tcBorders>
              <w:top w:val="single" w:color="666666" w:sz="6" w:space="0"/>
              <w:left w:val="single" w:color="666666" w:sz="6" w:space="0"/>
              <w:bottom w:val="single" w:color="666666" w:sz="6" w:space="0"/>
              <w:right w:val="single" w:color="666666" w:sz="6" w:space="0"/>
            </w:tcBorders>
            <w:shd w:val="clear" w:color="auto" w:fill="FFFFFF"/>
            <w:noWrap/>
            <w:vAlign w:val="center"/>
          </w:tcPr>
          <w:p>
            <w:pPr>
              <w:widowControl/>
              <w:jc w:val="left"/>
              <w:rPr>
                <w:rFonts w:ascii="宋体" w:hAnsi="宋体" w:cs="宋体"/>
                <w:color w:val="000000" w:themeColor="text1"/>
                <w:sz w:val="24"/>
                <w14:textFill>
                  <w14:solidFill>
                    <w14:schemeClr w14:val="tx1"/>
                  </w14:solidFill>
                </w14:textFill>
              </w:rPr>
            </w:pPr>
            <w:r>
              <w:rPr>
                <w:rFonts w:ascii="宋体" w:hAnsi="宋体" w:cs="宋体"/>
                <w:kern w:val="0"/>
                <w:sz w:val="24"/>
                <w:lang w:bidi="ar"/>
              </w:rPr>
              <w:t>违反磋商文件中载明“无效响应”或“响应文件无效”或“无效报价”条款的规定</w:t>
            </w:r>
            <w:r>
              <w:rPr>
                <w:rFonts w:hint="eastAsia" w:ascii="宋体" w:hAnsi="宋体" w:cs="宋体"/>
                <w:kern w:val="0"/>
                <w:sz w:val="24"/>
                <w:lang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827" w:type="dxa"/>
            <w:tcBorders>
              <w:top w:val="single" w:color="666666" w:sz="6" w:space="0"/>
              <w:left w:val="single" w:color="666666" w:sz="6" w:space="0"/>
              <w:bottom w:val="single" w:color="666666" w:sz="6" w:space="0"/>
              <w:right w:val="single" w:color="666666" w:sz="6" w:space="0"/>
            </w:tcBorders>
            <w:shd w:val="clear" w:color="auto" w:fill="FFFFFF"/>
            <w:noWrap/>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违反磋商文件中载明“资格审查不合格”条款的规定</w:t>
            </w:r>
            <w:r>
              <w:rPr>
                <w:rFonts w:hint="eastAsia" w:ascii="宋体" w:hAnsi="宋体" w:cs="宋体"/>
                <w:kern w:val="0"/>
                <w:sz w:val="24"/>
                <w:lang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827" w:type="dxa"/>
            <w:tcBorders>
              <w:top w:val="single" w:color="666666" w:sz="6" w:space="0"/>
              <w:left w:val="single" w:color="666666" w:sz="6" w:space="0"/>
              <w:bottom w:val="single" w:color="666666" w:sz="6" w:space="0"/>
              <w:right w:val="single" w:color="666666" w:sz="6" w:space="0"/>
            </w:tcBorders>
            <w:shd w:val="clear" w:color="auto" w:fill="FFFFFF"/>
            <w:noWrap/>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供应商的技术部分实际得分少于磋商文件设定的技术部分总分50%的</w:t>
            </w:r>
            <w:r>
              <w:rPr>
                <w:rFonts w:hint="eastAsia" w:ascii="宋体" w:hAnsi="宋体" w:cs="宋体"/>
                <w:kern w:val="0"/>
                <w:sz w:val="24"/>
                <w:lang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827" w:type="dxa"/>
            <w:tcBorders>
              <w:top w:val="single" w:color="666666" w:sz="6" w:space="0"/>
              <w:left w:val="single" w:color="666666" w:sz="6" w:space="0"/>
              <w:bottom w:val="single" w:color="666666" w:sz="6" w:space="0"/>
              <w:right w:val="single" w:color="666666" w:sz="6" w:space="0"/>
            </w:tcBorders>
            <w:shd w:val="clear" w:color="auto" w:fill="FFFFFF"/>
            <w:noWrap/>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出现不满足磋商文件第五章招标内容及要求“三、商务条件”中任一条款的</w:t>
            </w:r>
            <w:r>
              <w:rPr>
                <w:rFonts w:hint="eastAsia" w:ascii="宋体" w:hAnsi="宋体" w:cs="宋体"/>
                <w:kern w:val="0"/>
                <w:sz w:val="24"/>
                <w:lang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827" w:type="dxa"/>
            <w:tcBorders>
              <w:top w:val="single" w:color="666666" w:sz="6" w:space="0"/>
              <w:left w:val="single" w:color="666666" w:sz="6" w:space="0"/>
              <w:bottom w:val="single" w:color="666666" w:sz="6" w:space="0"/>
              <w:right w:val="single" w:color="666666" w:sz="6" w:space="0"/>
            </w:tcBorders>
            <w:shd w:val="clear" w:color="auto" w:fill="FFFFFF"/>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出现不满足磋商文件第五章招标内容及要求“二、技术和服务要求”中任一条款的</w:t>
            </w:r>
            <w:r>
              <w:rPr>
                <w:rFonts w:hint="eastAsia" w:ascii="宋体" w:hAnsi="宋体" w:cs="宋体"/>
                <w:kern w:val="0"/>
                <w:sz w:val="24"/>
                <w:lang w:bidi="ar"/>
              </w:rPr>
              <w:t>。</w:t>
            </w:r>
          </w:p>
        </w:tc>
      </w:tr>
    </w:tbl>
    <w:p>
      <w:pPr>
        <w:pStyle w:val="18"/>
        <w:widowControl/>
        <w:adjustRightInd w:val="0"/>
        <w:snapToGrid w:val="0"/>
        <w:spacing w:beforeAutospacing="0" w:afterAutospacing="0"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磋商小组决定供应商的响应性只根据响应文件本身的内容，而不寻求其他的外部证据。</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14.4</w:t>
      </w:r>
      <w:r>
        <w:rPr>
          <w:rFonts w:hint="eastAsia" w:ascii="宋体" w:hAnsi="宋体" w:cs="宋体"/>
          <w:color w:val="000000" w:themeColor="text1"/>
          <w14:textFill>
            <w14:solidFill>
              <w14:schemeClr w14:val="tx1"/>
            </w14:solidFill>
          </w14:textFill>
        </w:rPr>
        <w:t>只有资格审查和实质性响应审查合格的供应商才能进入磋商阶段。</w:t>
      </w:r>
      <w:r>
        <w:rPr>
          <w:rFonts w:hint="eastAsia" w:ascii="宋体" w:hAnsi="宋体" w:cs="宋体"/>
          <w:color w:val="000000" w:themeColor="text1"/>
          <w:shd w:val="clear" w:color="auto" w:fill="FFFFFF"/>
          <w14:textFill>
            <w14:solidFill>
              <w14:schemeClr w14:val="tx1"/>
            </w14:solidFill>
          </w14:textFill>
        </w:rPr>
        <w:t>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cs="宋体"/>
          <w:color w:val="000000" w:themeColor="text1"/>
          <w:u w:val="single"/>
          <w:shd w:val="clear" w:color="auto" w:fill="FFFFFF"/>
          <w14:textFill>
            <w14:solidFill>
              <w14:schemeClr w14:val="tx1"/>
            </w14:solidFill>
          </w14:textFill>
        </w:rPr>
        <w:t>8</w:t>
      </w:r>
      <w:r>
        <w:rPr>
          <w:rFonts w:hint="eastAsia" w:ascii="宋体" w:hAnsi="宋体" w:cs="宋体"/>
          <w:color w:val="000000" w:themeColor="text1"/>
          <w:shd w:val="clear" w:color="auto" w:fill="FFFFFF"/>
          <w14:textFill>
            <w14:solidFill>
              <w14:schemeClr w14:val="tx1"/>
            </w14:solidFill>
          </w14:textFill>
        </w:rPr>
        <w:t>项。</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8"/>
        <w:widowControl/>
        <w:adjustRightInd w:val="0"/>
        <w:snapToGrid w:val="0"/>
        <w:spacing w:beforeAutospacing="0" w:afterAutospacing="0" w:line="500" w:lineRule="exac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14.7磋商文件不能详细列明采购标的的技术、服务要求，需经磋商由供应商提供最终设计方案或解决方案的，磋商结束后，磋商小组应当按照少数服从多数的原则投票推荐4家及以上供应商的设计方案或者解决方案（不足4名则推荐3名），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8"/>
        <w:widowControl/>
        <w:adjustRightInd w:val="0"/>
        <w:snapToGrid w:val="0"/>
        <w:spacing w:beforeAutospacing="0" w:afterAutospacing="0" w:line="500" w:lineRule="exac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w:t>
      </w:r>
      <w:r>
        <w:rPr>
          <w:rFonts w:hint="eastAsia" w:ascii="宋体" w:hAnsi="宋体" w:cs="宋体"/>
          <w:color w:val="000000" w:themeColor="text1"/>
          <w:u w:val="single"/>
          <w:shd w:val="clear" w:color="auto" w:fill="FFFFFF"/>
          <w14:textFill>
            <w14:solidFill>
              <w14:schemeClr w14:val="tx1"/>
            </w14:solidFill>
          </w14:textFill>
        </w:rPr>
        <w:t>4</w:t>
      </w:r>
      <w:r>
        <w:rPr>
          <w:rFonts w:hint="eastAsia" w:ascii="宋体" w:hAnsi="宋体" w:cs="宋体"/>
          <w:color w:val="000000" w:themeColor="text1"/>
          <w:shd w:val="clear" w:color="auto" w:fill="FFFFFF"/>
          <w14:textFill>
            <w14:solidFill>
              <w14:schemeClr w14:val="tx1"/>
            </w14:solidFill>
          </w14:textFill>
        </w:rPr>
        <w:t>名成交候选人（不足4名则推荐3名成交候选人），并编写评审报告。属于《政府采购竞争性磋商采购方式管理暂行办法》等相关法律法规及财政部门颁布的规范性文件允许的两家供应商进行竞争性磋商采购情形，则可以按照评审得分由高到低顺序推荐2名成交候选人。如果成交候选人出现并列相同的评审得分，则相应处理方式按照“竞争性磋商须知前附表”中专项附件：“评审的标准和方法”的相关条款规定执行。</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14.10供应商提交的响应文件和资料将给予保密，但不退回(有关证件或证照的原件除外)。</w:t>
      </w:r>
    </w:p>
    <w:p>
      <w:pPr>
        <w:pStyle w:val="18"/>
        <w:widowControl/>
        <w:adjustRightInd w:val="0"/>
        <w:snapToGrid w:val="0"/>
        <w:spacing w:beforeAutospacing="0" w:afterAutospacing="0" w:line="500" w:lineRule="exact"/>
        <w:jc w:val="center"/>
        <w:outlineLvl w:val="1"/>
        <w:rPr>
          <w:rFonts w:ascii="宋体" w:hAnsi="宋体" w:cs="宋体"/>
          <w:color w:val="000000" w:themeColor="text1"/>
          <w14:textFill>
            <w14:solidFill>
              <w14:schemeClr w14:val="tx1"/>
            </w14:solidFill>
          </w14:textFill>
        </w:rPr>
      </w:pPr>
      <w:bookmarkStart w:id="23" w:name="_Toc9010"/>
      <w:r>
        <w:rPr>
          <w:rStyle w:val="24"/>
          <w:rFonts w:hint="eastAsia" w:ascii="宋体" w:hAnsi="宋体" w:cs="宋体"/>
          <w:color w:val="000000" w:themeColor="text1"/>
          <w:shd w:val="clear" w:color="auto" w:fill="FFFFFF"/>
          <w14:textFill>
            <w14:solidFill>
              <w14:schemeClr w14:val="tx1"/>
            </w14:solidFill>
          </w14:textFill>
        </w:rPr>
        <w:t>五、合同授予</w:t>
      </w:r>
      <w:bookmarkEnd w:id="23"/>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15.授予合同的准则：</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15.1除不可抗力等因素外，合同将授予响应文件符合竞争性磋商文件要求，能够圆满地履行合同，且被磋商小组推荐前四的成交候选人的供应商。</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15.3为维护国家利益和社会公共利益，最低报价不是被授予合同的绝对保证。</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16.确定成交供应商：</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16.1采购人委托代理机构组织竞争性磋商采购活动的，采购代理机构在评审结束后2个工作日内将评审报告送采购人确认。</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16.2采购人在收到评审报告后5个工作日内，从评审报告提出的成交候选人中，按照综合评分得分排序由高到低的原则确定成交供应商，也可以书面授权磋商小组直接确定成交供应商。采购人逾期未确定成交供应商且不提出异议的，视为确定评审报告提出的排序第一的供应商为成交供应商。</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17.成交通知:</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17.1采购人或者采购代理机构在成交供应商确定后2个工作日内，在本竞争性磋商文件信息公告指定媒体上公告成交结果，同时向成交供应商发出成交通知书。采用书面推荐供应商参加采购活动的，还将公告采购人和评审专家的推荐意见。</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18.签订合同：</w:t>
      </w:r>
    </w:p>
    <w:p>
      <w:pPr>
        <w:pStyle w:val="18"/>
        <w:widowControl/>
        <w:adjustRightInd w:val="0"/>
        <w:snapToGrid w:val="0"/>
        <w:spacing w:beforeAutospacing="0" w:afterAutospacing="0" w:line="500" w:lineRule="exac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18.1采购人与成交供应商应当在成交通知书发出之日起30个</w:t>
      </w:r>
      <w:r>
        <w:rPr>
          <w:rFonts w:ascii="宋体" w:hAnsi="宋体" w:cs="宋体"/>
          <w:bCs/>
        </w:rPr>
        <w:t>日历日内</w:t>
      </w:r>
      <w:r>
        <w:rPr>
          <w:rFonts w:hint="eastAsia" w:ascii="宋体" w:hAnsi="宋体" w:cs="宋体"/>
          <w:color w:val="000000" w:themeColor="text1"/>
          <w:shd w:val="clear" w:color="auto" w:fill="FFFFFF"/>
          <w14:textFill>
            <w14:solidFill>
              <w14:schemeClr w14:val="tx1"/>
            </w14:solidFill>
          </w14:textFill>
        </w:rPr>
        <w:t>，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18.2竞争性磋商文件、成交供应商的响应文件及其有关澄清承诺文件等，均为签订政府采购合同的依据和组成部分。</w:t>
      </w:r>
    </w:p>
    <w:p>
      <w:pPr>
        <w:pStyle w:val="18"/>
        <w:widowControl/>
        <w:adjustRightInd w:val="0"/>
        <w:snapToGrid w:val="0"/>
        <w:spacing w:beforeAutospacing="0" w:afterAutospacing="0" w:line="500" w:lineRule="exac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18.3采购人不得向成交供应商提出超出竞争性磋商文件以外的任何要求作为签订合同的条件，不得与成交供应商订立背离竞争性磋商文件确定的合同文本以及采购标的、规格型号、采购金额、采购数量、技术和服务要求等实质性内容的协议。</w:t>
      </w:r>
    </w:p>
    <w:p>
      <w:pPr>
        <w:pStyle w:val="18"/>
        <w:widowControl/>
        <w:adjustRightInd w:val="0"/>
        <w:snapToGrid w:val="0"/>
        <w:spacing w:beforeAutospacing="0" w:afterAutospacing="0" w:line="50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18.4成交供应商拒绝与采购人签订合同的，采购人可以按照评审报告推荐的成交候选人名单排序，确定下一候选人为成交供应商或选择不递补候选人。</w:t>
      </w:r>
    </w:p>
    <w:p>
      <w:pPr>
        <w:pStyle w:val="18"/>
        <w:widowControl/>
        <w:adjustRightInd w:val="0"/>
        <w:snapToGrid w:val="0"/>
        <w:spacing w:beforeAutospacing="0" w:afterAutospacing="0" w:line="500" w:lineRule="exact"/>
        <w:rPr>
          <w:rFonts w:ascii="宋体" w:hAnsi="宋体" w:cs="宋体"/>
          <w:color w:val="000000" w:themeColor="text1"/>
          <w:shd w:val="clear" w:color="auto" w:fill="FFFFFF"/>
          <w14:textFill>
            <w14:solidFill>
              <w14:schemeClr w14:val="tx1"/>
            </w14:solidFill>
          </w14:textFill>
        </w:rPr>
      </w:pPr>
    </w:p>
    <w:p>
      <w:pPr>
        <w:pStyle w:val="18"/>
        <w:widowControl/>
        <w:adjustRightInd w:val="0"/>
        <w:snapToGrid w:val="0"/>
        <w:spacing w:beforeAutospacing="0" w:afterAutospacing="0" w:line="500" w:lineRule="exact"/>
        <w:jc w:val="center"/>
        <w:outlineLvl w:val="1"/>
        <w:rPr>
          <w:rFonts w:ascii="宋体" w:hAnsi="宋体" w:cs="宋体"/>
          <w:color w:val="000000" w:themeColor="text1"/>
          <w14:textFill>
            <w14:solidFill>
              <w14:schemeClr w14:val="tx1"/>
            </w14:solidFill>
          </w14:textFill>
        </w:rPr>
      </w:pPr>
      <w:bookmarkStart w:id="24" w:name="_Toc18625"/>
      <w:r>
        <w:rPr>
          <w:rStyle w:val="24"/>
          <w:rFonts w:hint="eastAsia" w:ascii="宋体" w:hAnsi="宋体" w:cs="宋体"/>
          <w:color w:val="000000" w:themeColor="text1"/>
          <w:shd w:val="clear" w:color="auto" w:fill="FFFFFF"/>
          <w14:textFill>
            <w14:solidFill>
              <w14:schemeClr w14:val="tx1"/>
            </w14:solidFill>
          </w14:textFill>
        </w:rPr>
        <w:t>六、询问、质疑与投诉</w:t>
      </w:r>
      <w:bookmarkEnd w:id="24"/>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19.询问</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19.1潜在供应商或供应商对本次采购活动的有关事项若有疑问，可向采购人或采购代理机构提出询问，采购人或采购代理机构将按照政府采购法及实施条例的有关规定进行答复。</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20.质疑</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20.1质疑应在政府采购法及实施条例规定的时效内提出，并符合下列条件：</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20.1.2质疑人应提交质疑函原件。</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20.1.3质疑函应包括下列主要内容：</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②所质疑项目的基本信息，至少包括：项目编号、项目名称等；</w:t>
      </w:r>
    </w:p>
    <w:p>
      <w:pPr>
        <w:pStyle w:val="18"/>
        <w:widowControl/>
        <w:adjustRightInd w:val="0"/>
        <w:snapToGrid w:val="0"/>
        <w:spacing w:beforeAutospacing="0" w:afterAutospacing="0" w:line="500" w:lineRule="exac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③所质疑的具体事项(以下简称：“质疑事项”)；</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④质疑人自身权益受到损害的事实依据和证明材料，至少包括：</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a1所质疑的具体事项事实存在的证明材料；</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a2所质疑的具体事项事实导致质疑人自身权益受到损害的证明材料，如：采购文件、采购过程或成交结果违法违规，损害自已合法权益等证明材料；</w:t>
      </w:r>
    </w:p>
    <w:p>
      <w:pPr>
        <w:pStyle w:val="18"/>
        <w:widowControl/>
        <w:adjustRightInd w:val="0"/>
        <w:snapToGrid w:val="0"/>
        <w:spacing w:beforeAutospacing="0" w:afterAutospacing="0" w:line="500" w:lineRule="exac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⑤针对质疑事项提出的明确请求和法律依据，</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⑥提出质疑的日期以及质疑人代表联系方式，至少包括：姓名、手机、电子信箱、邮寄地址等。</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20.2对不符合前文第20.1条规定的质疑，采购人或采购代理机构将按照下列规定进行处理：</w:t>
      </w:r>
    </w:p>
    <w:p>
      <w:pPr>
        <w:pStyle w:val="18"/>
        <w:widowControl/>
        <w:adjustRightInd w:val="0"/>
        <w:snapToGrid w:val="0"/>
        <w:spacing w:beforeAutospacing="0" w:afterAutospacing="0" w:line="500" w:lineRule="exac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20.2.1超过质疑时效提交的或者质疑人不是直接参与所质疑项目采购活动的供应商，书面告知质疑人其质疑不成立的原因和理由。</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8"/>
        <w:widowControl/>
        <w:adjustRightInd w:val="0"/>
        <w:snapToGrid w:val="0"/>
        <w:spacing w:beforeAutospacing="0" w:afterAutospacing="0"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20.2.3质疑人修改、补充质疑函超过质疑时效提交的按20.2.1款处理。供应商提交质疑函时，要认真阅读本章第20条关于质疑的相关规定，以免内容或资料不齐，需要修改补充而延误时间。</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20.3对符合前文第20.1条规定的质疑，采购人或采购代理机构将按照政府采购法及实施条例的有关规定进行答复。</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21.投诉</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21.1若对质疑答复不满意或质疑答复未在答复期限内作出，质疑人可在答复期限届满之日起15个工作日内向磋商文件中载明的监督管理部门投诉。</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21.2投诉应有明确的请求和必要的证明材料，投诉的事项不得超出已质疑事项的范围。</w:t>
      </w:r>
    </w:p>
    <w:p>
      <w:pPr>
        <w:pStyle w:val="18"/>
        <w:widowControl/>
        <w:adjustRightInd w:val="0"/>
        <w:snapToGrid w:val="0"/>
        <w:spacing w:beforeAutospacing="0" w:afterAutospacing="0" w:line="500" w:lineRule="exact"/>
        <w:jc w:val="center"/>
        <w:outlineLvl w:val="1"/>
        <w:rPr>
          <w:rFonts w:ascii="宋体" w:hAnsi="宋体" w:cs="宋体"/>
          <w:color w:val="000000" w:themeColor="text1"/>
          <w14:textFill>
            <w14:solidFill>
              <w14:schemeClr w14:val="tx1"/>
            </w14:solidFill>
          </w14:textFill>
        </w:rPr>
      </w:pPr>
      <w:bookmarkStart w:id="25" w:name="_Toc12082"/>
      <w:r>
        <w:rPr>
          <w:rStyle w:val="24"/>
          <w:rFonts w:hint="eastAsia" w:ascii="宋体" w:hAnsi="宋体" w:cs="宋体"/>
          <w:color w:val="000000" w:themeColor="text1"/>
          <w:shd w:val="clear" w:color="auto" w:fill="FFFFFF"/>
          <w14:textFill>
            <w14:solidFill>
              <w14:schemeClr w14:val="tx1"/>
            </w14:solidFill>
          </w14:textFill>
        </w:rPr>
        <w:t>七、有关信息公告和监督部门</w:t>
      </w:r>
      <w:bookmarkEnd w:id="25"/>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22.政府采购信息公告媒体</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22.2信息公告指定媒体：详见竞争性磋商须知前附表第</w:t>
      </w:r>
      <w:r>
        <w:rPr>
          <w:rFonts w:hint="eastAsia" w:ascii="宋体" w:hAnsi="宋体" w:cs="宋体"/>
          <w:color w:val="000000" w:themeColor="text1"/>
          <w:u w:val="single"/>
          <w:shd w:val="clear" w:color="auto" w:fill="FFFFFF"/>
          <w14:textFill>
            <w14:solidFill>
              <w14:schemeClr w14:val="tx1"/>
            </w14:solidFill>
          </w14:textFill>
        </w:rPr>
        <w:t>11</w:t>
      </w:r>
      <w:r>
        <w:rPr>
          <w:rFonts w:hint="eastAsia" w:ascii="宋体" w:hAnsi="宋体" w:cs="宋体"/>
          <w:color w:val="000000" w:themeColor="text1"/>
          <w:shd w:val="clear" w:color="auto" w:fill="FFFFFF"/>
          <w14:textFill>
            <w14:solidFill>
              <w14:schemeClr w14:val="tx1"/>
            </w14:solidFill>
          </w14:textFill>
        </w:rPr>
        <w:t>项。</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23.监督管理部门</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23.1磋商采购活动的监督管理部门详见竞争性磋商须知前附表第</w:t>
      </w:r>
      <w:r>
        <w:rPr>
          <w:rFonts w:hint="eastAsia" w:ascii="宋体" w:hAnsi="宋体" w:cs="宋体"/>
          <w:color w:val="000000" w:themeColor="text1"/>
          <w:u w:val="single"/>
          <w:shd w:val="clear" w:color="auto" w:fill="FFFFFF"/>
          <w14:textFill>
            <w14:solidFill>
              <w14:schemeClr w14:val="tx1"/>
            </w14:solidFill>
          </w14:textFill>
        </w:rPr>
        <w:t>12</w:t>
      </w:r>
      <w:r>
        <w:rPr>
          <w:rFonts w:hint="eastAsia" w:ascii="宋体" w:hAnsi="宋体" w:cs="宋体"/>
          <w:color w:val="000000" w:themeColor="text1"/>
          <w:shd w:val="clear" w:color="auto" w:fill="FFFFFF"/>
          <w14:textFill>
            <w14:solidFill>
              <w14:schemeClr w14:val="tx1"/>
            </w14:solidFill>
          </w14:textFill>
        </w:rPr>
        <w:t>项。</w:t>
      </w:r>
    </w:p>
    <w:p>
      <w:pPr>
        <w:pStyle w:val="18"/>
        <w:widowControl/>
        <w:adjustRightInd w:val="0"/>
        <w:snapToGrid w:val="0"/>
        <w:spacing w:beforeAutospacing="0" w:afterAutospacing="0" w:line="500" w:lineRule="exact"/>
        <w:jc w:val="center"/>
        <w:outlineLvl w:val="1"/>
        <w:rPr>
          <w:rFonts w:ascii="宋体" w:hAnsi="宋体" w:cs="宋体"/>
          <w:color w:val="000000" w:themeColor="text1"/>
          <w14:textFill>
            <w14:solidFill>
              <w14:schemeClr w14:val="tx1"/>
            </w14:solidFill>
          </w14:textFill>
        </w:rPr>
      </w:pPr>
      <w:bookmarkStart w:id="26" w:name="_Toc6900"/>
      <w:r>
        <w:rPr>
          <w:rStyle w:val="24"/>
          <w:rFonts w:hint="eastAsia" w:ascii="宋体" w:hAnsi="宋体" w:cs="宋体"/>
          <w:color w:val="000000" w:themeColor="text1"/>
          <w:shd w:val="clear" w:color="auto" w:fill="FFFFFF"/>
          <w14:textFill>
            <w14:solidFill>
              <w14:schemeClr w14:val="tx1"/>
            </w14:solidFill>
          </w14:textFill>
        </w:rPr>
        <w:t>八、根据采购项目特点或政策需要补充的其他内容</w:t>
      </w:r>
      <w:bookmarkEnd w:id="26"/>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24.履约保证金</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24.1采购人可以根据项目特点和需要，确定是否要求成交供应商在合同签订前，按照磋商文件规定的时间、形式、金额提交履约保证金，履约保证金的数额不超过中标合同金额的10%，具体详见磋商须知前附表第</w:t>
      </w:r>
      <w:r>
        <w:rPr>
          <w:rFonts w:hint="eastAsia" w:ascii="宋体" w:hAnsi="宋体" w:cs="宋体"/>
          <w:color w:val="000000" w:themeColor="text1"/>
          <w:u w:val="single"/>
          <w:shd w:val="clear" w:color="auto" w:fill="FFFFFF"/>
          <w14:textFill>
            <w14:solidFill>
              <w14:schemeClr w14:val="tx1"/>
            </w14:solidFill>
          </w14:textFill>
        </w:rPr>
        <w:t>13</w:t>
      </w:r>
      <w:r>
        <w:rPr>
          <w:rFonts w:hint="eastAsia" w:ascii="宋体" w:hAnsi="宋体" w:cs="宋体"/>
          <w:color w:val="000000" w:themeColor="text1"/>
          <w:shd w:val="clear" w:color="auto" w:fill="FFFFFF"/>
          <w14:textFill>
            <w14:solidFill>
              <w14:schemeClr w14:val="tx1"/>
            </w14:solidFill>
          </w14:textFill>
        </w:rPr>
        <w:t>项规定。</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24.2磋商文件要求在合同签订前提交履约保证金，如果成交供应商无故拖延或者拒不提交履约保证金的，则视为成交供应商拒绝与采购人签订合同，该成交供应商将承担违法行为的法律责任。</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25.其他新增内容：</w:t>
      </w:r>
    </w:p>
    <w:p>
      <w:pPr>
        <w:pStyle w:val="18"/>
        <w:widowControl/>
        <w:adjustRightInd w:val="0"/>
        <w:snapToGrid w:val="0"/>
        <w:spacing w:beforeAutospacing="0" w:afterAutospacing="0"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根据采购项目特点或政策需要补充的其他新增内容详见竞争性磋商须知前附表第</w:t>
      </w:r>
      <w:r>
        <w:rPr>
          <w:rFonts w:hint="eastAsia" w:ascii="宋体" w:hAnsi="宋体" w:cs="宋体"/>
          <w:color w:val="000000" w:themeColor="text1"/>
          <w:u w:val="single"/>
          <w:shd w:val="clear" w:color="auto" w:fill="FFFFFF"/>
          <w14:textFill>
            <w14:solidFill>
              <w14:schemeClr w14:val="tx1"/>
            </w14:solidFill>
          </w14:textFill>
        </w:rPr>
        <w:t>14</w:t>
      </w:r>
      <w:r>
        <w:rPr>
          <w:rFonts w:hint="eastAsia" w:ascii="宋体" w:hAnsi="宋体" w:cs="宋体"/>
          <w:color w:val="000000" w:themeColor="text1"/>
          <w:shd w:val="clear" w:color="auto" w:fill="FFFFFF"/>
          <w14:textFill>
            <w14:solidFill>
              <w14:schemeClr w14:val="tx1"/>
            </w14:solidFill>
          </w14:textFill>
        </w:rPr>
        <w:t>项。</w:t>
      </w:r>
    </w:p>
    <w:p>
      <w:pPr>
        <w:adjustRightInd w:val="0"/>
        <w:rPr>
          <w:rStyle w:val="24"/>
          <w:rFonts w:ascii="宋体" w:hAnsi="宋体" w:cs="宋体"/>
          <w:color w:val="000000" w:themeColor="text1"/>
          <w:sz w:val="24"/>
          <w:shd w:val="clear" w:color="auto" w:fill="FFFFFF"/>
          <w14:textFill>
            <w14:solidFill>
              <w14:schemeClr w14:val="tx1"/>
            </w14:solidFill>
          </w14:textFill>
        </w:rPr>
      </w:pPr>
      <w:r>
        <w:rPr>
          <w:rStyle w:val="24"/>
          <w:rFonts w:hint="eastAsia" w:ascii="宋体" w:hAnsi="宋体" w:cs="宋体"/>
          <w:color w:val="000000" w:themeColor="text1"/>
          <w:sz w:val="24"/>
          <w:shd w:val="clear" w:color="auto" w:fill="FFFFFF"/>
          <w14:textFill>
            <w14:solidFill>
              <w14:schemeClr w14:val="tx1"/>
            </w14:solidFill>
          </w14:textFill>
        </w:rPr>
        <w:br w:type="page"/>
      </w:r>
    </w:p>
    <w:p>
      <w:pPr>
        <w:pStyle w:val="18"/>
        <w:widowControl/>
        <w:adjustRightInd w:val="0"/>
        <w:spacing w:before="75" w:beforeAutospacing="0" w:after="75" w:afterAutospacing="0"/>
        <w:jc w:val="center"/>
        <w:outlineLvl w:val="0"/>
        <w:rPr>
          <w:rFonts w:ascii="宋体" w:hAnsi="宋体" w:cs="宋体"/>
          <w:color w:val="000000" w:themeColor="text1"/>
          <w:sz w:val="30"/>
          <w:szCs w:val="30"/>
          <w14:textFill>
            <w14:solidFill>
              <w14:schemeClr w14:val="tx1"/>
            </w14:solidFill>
          </w14:textFill>
        </w:rPr>
      </w:pPr>
      <w:bookmarkStart w:id="27" w:name="_Toc19744"/>
      <w:r>
        <w:rPr>
          <w:rStyle w:val="24"/>
          <w:rFonts w:hint="eastAsia" w:ascii="宋体" w:hAnsi="宋体" w:cs="宋体"/>
          <w:color w:val="000000" w:themeColor="text1"/>
          <w:sz w:val="36"/>
          <w:szCs w:val="36"/>
          <w:shd w:val="clear" w:color="auto" w:fill="FFFFFF"/>
          <w14:textFill>
            <w14:solidFill>
              <w14:schemeClr w14:val="tx1"/>
            </w14:solidFill>
          </w14:textFill>
        </w:rPr>
        <w:t>第三章  采购内容及要求</w:t>
      </w:r>
      <w:bookmarkEnd w:id="27"/>
    </w:p>
    <w:p>
      <w:pPr>
        <w:pStyle w:val="18"/>
        <w:widowControl/>
        <w:spacing w:before="76" w:beforeAutospacing="0" w:after="76" w:afterAutospacing="0"/>
        <w:ind w:right="-363" w:firstLine="482" w:firstLineChars="200"/>
        <w:rPr>
          <w:rFonts w:ascii="宋体" w:hAnsi="宋体" w:cs="宋体"/>
          <w:b/>
          <w:bCs/>
        </w:rPr>
      </w:pPr>
      <w:bookmarkStart w:id="28" w:name="_Toc7737"/>
      <w:r>
        <w:rPr>
          <w:rFonts w:hint="eastAsia" w:ascii="宋体" w:hAnsi="宋体" w:cs="宋体"/>
          <w:b/>
          <w:bCs/>
          <w:shd w:val="clear" w:color="auto" w:fill="FFFFFF"/>
        </w:rPr>
        <w:t>一、根据本项目实际情况，填写“采购标的”或“项目概况”</w:t>
      </w:r>
    </w:p>
    <w:p>
      <w:pPr>
        <w:spacing w:line="360" w:lineRule="auto"/>
        <w:ind w:firstLine="480" w:firstLineChars="200"/>
      </w:pPr>
      <w:r>
        <w:rPr>
          <w:rFonts w:hint="eastAsia" w:ascii="宋体" w:hAnsi="宋体" w:cs="宋体"/>
          <w:kern w:val="0"/>
          <w:sz w:val="24"/>
          <w:shd w:val="clear" w:color="auto" w:fill="FFFFFF"/>
        </w:rPr>
        <w:t>本次招标项目为天津大学福州国际联合学院2023-2024年招标代理遴选，遴选不超过4家招标代理，有效期自合同签订之日起至2024年12月31日，如遇特殊情况，适当延长或调整服务期限</w:t>
      </w:r>
      <w:r>
        <w:rPr>
          <w:rFonts w:hint="eastAsia" w:ascii="宋体" w:hAnsi="宋体" w:cs="宋体"/>
          <w:kern w:val="0"/>
          <w:sz w:val="24"/>
        </w:rPr>
        <w:t>。</w:t>
      </w:r>
      <w:r>
        <w:rPr>
          <w:rFonts w:hint="eastAsia" w:ascii="宋体" w:hAnsi="宋体" w:cs="宋体"/>
          <w:kern w:val="0"/>
          <w:sz w:val="24"/>
          <w:shd w:val="clear" w:color="auto" w:fill="FFFFFF"/>
        </w:rPr>
        <w:t>遴选申请人应根据遴选文件所提出的要求前来递交遴选响应文件。</w:t>
      </w:r>
    </w:p>
    <w:p>
      <w:pPr>
        <w:pStyle w:val="28"/>
        <w:ind w:firstLine="482" w:firstLineChars="200"/>
        <w:rPr>
          <w:rStyle w:val="24"/>
          <w:rFonts w:hAnsi="宋体" w:cs="宋体"/>
          <w:sz w:val="21"/>
          <w:szCs w:val="21"/>
        </w:rPr>
      </w:pPr>
      <w:r>
        <w:rPr>
          <w:rFonts w:hint="eastAsia" w:ascii="sans-serif" w:hAnsi="sans-serif" w:cs="sans-serif"/>
          <w:b/>
          <w:bCs/>
          <w:color w:val="auto"/>
          <w:shd w:val="clear" w:color="auto" w:fill="FFFFFF"/>
        </w:rPr>
        <w:t>二、技术和服务要求</w:t>
      </w:r>
      <w:r>
        <w:rPr>
          <w:rFonts w:hint="eastAsia" w:hAnsi="宋体" w:cs="宋体"/>
          <w:b/>
          <w:bCs/>
        </w:rPr>
        <w:t>（以下内容均为不允许负偏离的要求，出现负偏离则按无效响应处理）</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1.须按政府采购相关法律法规的规定组织采购人所委托项目的采购工作，精心设计和组织采购工作，提供优良的服务，保证采购计划顺利实施，维护采购的社会和经济效益。</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须指派1名项目经理及1名项目组长。项目经理总体负责本项目的协调与沟通，项目组长负责与采购人接洽具体项目、接收委托书、取送相关资料等日常事务性工作，不得随意变更。本项目授权代表应为该项目经理或项目组长；现场讲标和问答环节应由项目组长完成。项目组长在接到采购人电话通知后，与采购人相关人员就招标采购的有关具体事项进行协商；若采购人采购的设备为需要进行论证的进口产品或预算主管部门规定的前期论证产品，采购人应举行进口产品论证会或专家评审会，协助采购人完成相关论证后的审批及政府采购计划表的报批工作。</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3.应及时向采购人通报招标计划和进展，保证招标计划的顺利实施。</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根据采购人提供的采购项目相关资料并结合与采购人需求部门工作人员协商的结果，应保证在24小时内完成招标文件初稿的制作（紧急情况下应在12小时内完成，以上时间不含采购人需求部门工作人员因不可预知原因而致的时间延误），并送采购人审核；招标文件定稿后，将在与采购人协商确定开标时间后及时发布招标公告。</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5.从招标文件开始发售起至截标前止,应及时将项目的进展情况向采购人具体负责人员进行通报（如质疑等）。</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6.在所委托招标项目开标的前三天内，书面发出邀请函，邀请采购人派遣相关人员参加开、评标会议。</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7.负责组织开标、评标，并做好采购过程的记录。</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8.评标结束后，应在1个工作日内将成交结果确认文件送至采购人盖章确认，并根据采购人确认的成交结果，发布中标公告及做好相关中标（未中标）通知书发送工作。</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9.在接受采购人委托期间，需严格按照相关法律法规规定制作招标文件以及按规定确定评标委员会组成人员、组织开标、评标等过程。</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10.在招标活动中若发生质疑或投诉，要负责协调相关方，主动及时处理好质疑或投诉。</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11.在具体项目招标结束后，应按规定保管相关档案，必要时报政府采购监管部门备案，并向采购人送交政府采购规定或采购人需要存档的所有资料。</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12.应及时录入业务范围内政府采购监管部门要求的采购统计信息。</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13.如遇采购人需要紧急采购、内部开标的，应无偿协助编制招标文件、公告，组织开标评审，装订档案等，不得推诿。</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14.政府采购相关范本中规定的应由招标代理机构完成的其他招标代理工作以及相关的配套服务工作。</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15.承担委托项目涉及的所有费用（含向专家支付的评审费、差旅费等）。</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16.应按承诺的折扣率收取采购代理服务费。</w:t>
      </w:r>
    </w:p>
    <w:p>
      <w:pPr>
        <w:pStyle w:val="34"/>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17.服务期内，采购人有权对招标代理机构从事招标代理的专业性、服务质量等进行评价考核。</w:t>
      </w:r>
    </w:p>
    <w:p>
      <w:pPr>
        <w:pStyle w:val="34"/>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18.未尽事宜，协议期内友好商议。</w:t>
      </w:r>
    </w:p>
    <w:p>
      <w:pPr>
        <w:pStyle w:val="18"/>
        <w:widowControl/>
        <w:spacing w:before="76" w:beforeAutospacing="0" w:after="76" w:afterAutospacing="0"/>
        <w:ind w:right="-363" w:firstLine="482" w:firstLineChars="200"/>
        <w:rPr>
          <w:b/>
          <w:bCs/>
        </w:rPr>
      </w:pPr>
      <w:r>
        <w:rPr>
          <w:rFonts w:hint="eastAsia" w:ascii="宋体" w:hAnsi="宋体" w:cs="宋体"/>
          <w:b/>
          <w:bCs/>
          <w:color w:val="000000"/>
        </w:rPr>
        <w:t>三、商务条件（</w:t>
      </w:r>
      <w:r>
        <w:rPr>
          <w:rFonts w:hint="eastAsia" w:hAnsi="宋体" w:cs="宋体"/>
          <w:b/>
          <w:bCs/>
        </w:rPr>
        <w:t>以下内容均为不允许负偏离的要求，出现负偏离则按无效响应处理</w:t>
      </w:r>
      <w:r>
        <w:rPr>
          <w:rFonts w:hint="eastAsia" w:ascii="宋体" w:hAnsi="宋体" w:cs="宋体"/>
          <w:b/>
          <w:bCs/>
          <w:color w:val="000000"/>
        </w:rPr>
        <w:t>）</w:t>
      </w:r>
    </w:p>
    <w:p>
      <w:pPr>
        <w:widowControl/>
        <w:spacing w:line="360" w:lineRule="auto"/>
        <w:ind w:firstLine="480" w:firstLineChars="200"/>
        <w:jc w:val="left"/>
        <w:outlineLvl w:val="0"/>
        <w:rPr>
          <w:rFonts w:ascii="宋体" w:hAnsi="宋体" w:cs="宋体"/>
          <w:kern w:val="0"/>
          <w:sz w:val="24"/>
        </w:rPr>
      </w:pPr>
      <w:r>
        <w:rPr>
          <w:rFonts w:hint="eastAsia" w:ascii="宋体" w:hAnsi="宋体" w:cs="宋体"/>
          <w:kern w:val="0"/>
          <w:sz w:val="24"/>
        </w:rPr>
        <w:t xml:space="preserve">1.交付地点：天津大学福州国际联合学院 </w:t>
      </w:r>
    </w:p>
    <w:p>
      <w:pPr>
        <w:widowControl/>
        <w:spacing w:line="360" w:lineRule="auto"/>
        <w:ind w:firstLine="480" w:firstLineChars="200"/>
        <w:jc w:val="left"/>
        <w:outlineLvl w:val="0"/>
        <w:rPr>
          <w:rFonts w:ascii="宋体" w:hAnsi="宋体" w:cs="宋体"/>
          <w:kern w:val="0"/>
          <w:sz w:val="24"/>
        </w:rPr>
      </w:pPr>
      <w:r>
        <w:rPr>
          <w:rFonts w:hint="eastAsia" w:ascii="宋体" w:hAnsi="宋体" w:cs="宋体"/>
          <w:kern w:val="0"/>
          <w:sz w:val="24"/>
        </w:rPr>
        <w:t>2.交付时间：</w:t>
      </w:r>
      <w:bookmarkStart w:id="29" w:name="_Toc13751"/>
      <w:r>
        <w:rPr>
          <w:rFonts w:hint="eastAsia" w:ascii="宋体" w:hAnsi="宋体" w:cs="宋体"/>
          <w:kern w:val="0"/>
          <w:sz w:val="24"/>
        </w:rPr>
        <w:t>合同签订之日起至2024年12月31日，如遇特殊情况，适当延长或调整服务期限。</w:t>
      </w:r>
    </w:p>
    <w:p>
      <w:pPr>
        <w:pStyle w:val="8"/>
        <w:spacing w:line="360" w:lineRule="auto"/>
        <w:ind w:firstLine="480" w:firstLineChars="200"/>
        <w:rPr>
          <w:rFonts w:ascii="宋体" w:hAnsi="宋体" w:eastAsia="宋体" w:cs="宋体"/>
          <w:kern w:val="0"/>
          <w:sz w:val="24"/>
          <w:shd w:val="clear" w:color="auto" w:fill="auto"/>
        </w:rPr>
      </w:pPr>
      <w:r>
        <w:rPr>
          <w:rFonts w:hint="eastAsia" w:ascii="宋体" w:hAnsi="宋体" w:eastAsia="宋体" w:cs="宋体"/>
          <w:kern w:val="0"/>
          <w:sz w:val="24"/>
          <w:shd w:val="clear" w:color="auto" w:fill="auto"/>
        </w:rPr>
        <w:t>3.交付条件：经采购人审核通过后。</w:t>
      </w:r>
    </w:p>
    <w:p>
      <w:pPr>
        <w:pStyle w:val="28"/>
        <w:snapToGrid w:val="0"/>
        <w:spacing w:line="360" w:lineRule="auto"/>
        <w:ind w:firstLine="480" w:firstLineChars="200"/>
        <w:jc w:val="both"/>
        <w:rPr>
          <w:rFonts w:hAnsi="宋体" w:cs="宋体"/>
        </w:rPr>
      </w:pPr>
      <w:r>
        <w:rPr>
          <w:rFonts w:hint="eastAsia" w:hAnsi="宋体" w:cs="宋体"/>
        </w:rPr>
        <w:t>4.</w:t>
      </w:r>
      <w:r>
        <w:rPr>
          <w:rFonts w:hAnsi="宋体" w:cs="宋体"/>
        </w:rPr>
        <w:t>是否收取履约保证金：</w:t>
      </w:r>
      <w:r>
        <w:rPr>
          <w:rFonts w:hint="eastAsia" w:hAnsi="宋体" w:cs="宋体"/>
        </w:rPr>
        <w:t>是。注：成交供应商在签订采购合同前应向采购人缴纳20000元整履约保证金，该履约保证金于服务期满后无违约的前提下，成交供应商提供书面申请后7个工作日内一次性无息退还。履约保证金以转账、履约保函等非现金形式提交。</w:t>
      </w:r>
      <w:bookmarkEnd w:id="29"/>
      <w:bookmarkStart w:id="30" w:name="_Toc20938"/>
    </w:p>
    <w:p>
      <w:pPr>
        <w:pStyle w:val="28"/>
        <w:snapToGrid w:val="0"/>
        <w:spacing w:line="360" w:lineRule="auto"/>
        <w:ind w:firstLine="480" w:firstLineChars="200"/>
        <w:jc w:val="both"/>
        <w:rPr>
          <w:rFonts w:hAnsi="宋体" w:cs="宋体"/>
          <w:color w:val="auto"/>
          <w:kern w:val="2"/>
        </w:rPr>
      </w:pPr>
      <w:r>
        <w:rPr>
          <w:rFonts w:hint="eastAsia" w:hAnsi="宋体" w:cs="宋体"/>
        </w:rPr>
        <w:t>5.</w:t>
      </w:r>
      <w:r>
        <w:rPr>
          <w:rFonts w:hAnsi="宋体" w:cs="宋体"/>
        </w:rPr>
        <w:t>支付方式</w:t>
      </w:r>
      <w:bookmarkEnd w:id="30"/>
      <w:r>
        <w:rPr>
          <w:rFonts w:hint="eastAsia" w:hAnsi="宋体" w:cs="宋体"/>
        </w:rPr>
        <w:t>：代理报酬包含在招标代理业务范围内所发生的费用，如评标会务费，评标专家的劳务费、差旅费，公证费等。代理报酬由具体项目中标人支付</w:t>
      </w:r>
      <w:r>
        <w:rPr>
          <w:rFonts w:hint="eastAsia" w:hAnsi="宋体" w:cs="宋体"/>
          <w:color w:val="auto"/>
        </w:rPr>
        <w:t>。</w:t>
      </w:r>
    </w:p>
    <w:p>
      <w:pPr>
        <w:widowControl/>
        <w:spacing w:before="75" w:after="75"/>
        <w:ind w:firstLine="482" w:firstLineChars="200"/>
        <w:jc w:val="left"/>
        <w:outlineLvl w:val="0"/>
        <w:rPr>
          <w:rFonts w:ascii="宋体" w:hAnsi="宋体" w:cs="宋体"/>
          <w:b/>
          <w:bCs/>
          <w:color w:val="000000"/>
          <w:kern w:val="0"/>
          <w:sz w:val="24"/>
        </w:rPr>
      </w:pPr>
      <w:bookmarkStart w:id="31" w:name="_Toc32072"/>
    </w:p>
    <w:p>
      <w:pPr>
        <w:widowControl/>
        <w:spacing w:before="75" w:after="75"/>
        <w:ind w:firstLine="482" w:firstLineChars="200"/>
        <w:jc w:val="left"/>
        <w:outlineLvl w:val="0"/>
        <w:rPr>
          <w:rFonts w:ascii="宋体" w:hAnsi="宋体" w:cs="宋体"/>
          <w:b/>
          <w:bCs/>
          <w:color w:val="000000"/>
          <w:kern w:val="0"/>
          <w:sz w:val="24"/>
        </w:rPr>
      </w:pPr>
      <w:r>
        <w:rPr>
          <w:rFonts w:hint="eastAsia" w:ascii="宋体" w:hAnsi="宋体" w:cs="宋体"/>
          <w:b/>
          <w:bCs/>
          <w:color w:val="000000"/>
          <w:kern w:val="0"/>
          <w:sz w:val="24"/>
        </w:rPr>
        <w:t>四、其他事项</w:t>
      </w:r>
      <w:bookmarkEnd w:id="31"/>
    </w:p>
    <w:p>
      <w:pPr>
        <w:pStyle w:val="28"/>
        <w:snapToGrid w:val="0"/>
        <w:spacing w:line="460" w:lineRule="exact"/>
        <w:ind w:firstLine="480" w:firstLineChars="200"/>
        <w:jc w:val="both"/>
        <w:rPr>
          <w:rFonts w:hAnsi="宋体" w:cs="宋体"/>
          <w:color w:val="auto"/>
        </w:rPr>
      </w:pPr>
      <w:bookmarkStart w:id="32" w:name="_Toc5387"/>
      <w:r>
        <w:rPr>
          <w:rFonts w:hint="eastAsia" w:hAnsi="宋体" w:cs="宋体"/>
        </w:rPr>
        <w:t>1.除竞争性磋商文件另有规定外，若出现有关法律、法规和规章有强制性规定但</w:t>
      </w:r>
      <w:r>
        <w:rPr>
          <w:rFonts w:hint="eastAsia" w:hAnsi="宋体" w:cs="宋体"/>
          <w:color w:val="auto"/>
        </w:rPr>
        <w:t>竞争性磋商文件未列明的情形，则供应商应按照有关法律、法规和规章强制性规定执行。</w:t>
      </w:r>
    </w:p>
    <w:p>
      <w:pPr>
        <w:pStyle w:val="28"/>
        <w:snapToGrid w:val="0"/>
        <w:spacing w:line="460" w:lineRule="exact"/>
        <w:ind w:firstLine="480" w:firstLineChars="200"/>
        <w:jc w:val="both"/>
        <w:rPr>
          <w:rFonts w:hAnsi="宋体" w:cs="宋体"/>
          <w:color w:val="auto"/>
        </w:rPr>
      </w:pPr>
      <w:r>
        <w:rPr>
          <w:rFonts w:hint="eastAsia" w:hAnsi="宋体" w:cs="宋体"/>
          <w:color w:val="auto"/>
        </w:rPr>
        <w:t>2.服务期内代理机构有以下任一行为的，采购人有权取消其入围资格，且有权拒绝其今后再次参与采购人组织的代理机构遴选：</w:t>
      </w:r>
    </w:p>
    <w:p>
      <w:pPr>
        <w:pStyle w:val="28"/>
        <w:snapToGrid w:val="0"/>
        <w:spacing w:line="460" w:lineRule="exact"/>
        <w:ind w:firstLine="480" w:firstLineChars="200"/>
        <w:jc w:val="both"/>
        <w:rPr>
          <w:rFonts w:hAnsi="宋体" w:cs="宋体"/>
          <w:color w:val="auto"/>
        </w:rPr>
      </w:pPr>
      <w:r>
        <w:rPr>
          <w:rFonts w:hint="eastAsia" w:hAnsi="宋体" w:cs="宋体"/>
          <w:color w:val="auto"/>
        </w:rPr>
        <w:t>（1）代理机构在“福建省政府采购网”代理机构执业评价中有“红灯”警示的。</w:t>
      </w:r>
    </w:p>
    <w:p>
      <w:pPr>
        <w:pStyle w:val="28"/>
        <w:snapToGrid w:val="0"/>
        <w:spacing w:line="460" w:lineRule="exact"/>
        <w:ind w:firstLine="480" w:firstLineChars="200"/>
        <w:jc w:val="both"/>
        <w:rPr>
          <w:rFonts w:hAnsi="宋体" w:cs="宋体"/>
          <w:color w:val="auto"/>
        </w:rPr>
      </w:pPr>
      <w:r>
        <w:rPr>
          <w:rFonts w:hint="eastAsia" w:hAnsi="宋体" w:cs="宋体"/>
          <w:color w:val="auto"/>
        </w:rPr>
        <w:t>（2）在代理过程中出现与供应商恶意串通、接受贿赂或者获取其他不正当利益等违法行为的。</w:t>
      </w:r>
    </w:p>
    <w:p>
      <w:pPr>
        <w:pStyle w:val="28"/>
        <w:snapToGrid w:val="0"/>
        <w:spacing w:line="460" w:lineRule="exact"/>
        <w:ind w:firstLine="480" w:firstLineChars="200"/>
        <w:jc w:val="both"/>
        <w:rPr>
          <w:rFonts w:hAnsi="宋体" w:cs="宋体"/>
          <w:color w:val="auto"/>
        </w:rPr>
      </w:pPr>
      <w:r>
        <w:rPr>
          <w:rFonts w:hint="eastAsia" w:hAnsi="宋体" w:cs="宋体"/>
          <w:color w:val="auto"/>
        </w:rPr>
        <w:t>（3）因代理机构原因导致项目违反规定受到政府采购主管部门通报、要求整改的。</w:t>
      </w:r>
    </w:p>
    <w:p>
      <w:pPr>
        <w:pStyle w:val="28"/>
        <w:snapToGrid w:val="0"/>
        <w:spacing w:line="460" w:lineRule="exact"/>
        <w:ind w:firstLine="480" w:firstLineChars="200"/>
        <w:jc w:val="both"/>
        <w:rPr>
          <w:rFonts w:hAnsi="宋体" w:cs="宋体"/>
          <w:color w:val="auto"/>
        </w:rPr>
      </w:pPr>
      <w:r>
        <w:rPr>
          <w:rFonts w:hint="eastAsia" w:hAnsi="宋体" w:cs="宋体"/>
          <w:color w:val="auto"/>
        </w:rPr>
        <w:t>（4）拒绝接受采购人项目委托，影响采购工作顺利开展的（因不可抗力因素导致的除外）。</w:t>
      </w:r>
    </w:p>
    <w:p>
      <w:pPr>
        <w:pStyle w:val="28"/>
        <w:snapToGrid w:val="0"/>
        <w:spacing w:line="460" w:lineRule="exact"/>
        <w:ind w:firstLine="480" w:firstLineChars="200"/>
        <w:jc w:val="both"/>
        <w:rPr>
          <w:rFonts w:hAnsi="宋体" w:cs="宋体"/>
          <w:color w:val="auto"/>
        </w:rPr>
      </w:pPr>
      <w:r>
        <w:rPr>
          <w:rFonts w:hint="eastAsia" w:hAnsi="宋体" w:cs="宋体"/>
          <w:color w:val="auto"/>
        </w:rPr>
        <w:t>（5）投标人提交虚假响应材料，经采购人核实的。</w:t>
      </w:r>
    </w:p>
    <w:p>
      <w:pPr>
        <w:pStyle w:val="28"/>
        <w:snapToGrid w:val="0"/>
        <w:spacing w:line="460" w:lineRule="exact"/>
        <w:ind w:firstLine="480" w:firstLineChars="200"/>
        <w:jc w:val="both"/>
        <w:rPr>
          <w:rFonts w:hAnsi="宋体" w:cs="宋体"/>
          <w:color w:val="auto"/>
        </w:rPr>
      </w:pPr>
      <w:r>
        <w:rPr>
          <w:rFonts w:hint="eastAsia" w:hAnsi="宋体" w:cs="宋体"/>
          <w:color w:val="auto"/>
        </w:rPr>
        <w:t>（6）采购人对代理机构在服务期内的评价考核结果为不合格的。</w:t>
      </w:r>
    </w:p>
    <w:p>
      <w:pPr>
        <w:pStyle w:val="28"/>
        <w:snapToGrid w:val="0"/>
        <w:spacing w:line="460" w:lineRule="exact"/>
        <w:ind w:firstLine="480" w:firstLineChars="200"/>
        <w:jc w:val="both"/>
        <w:rPr>
          <w:rFonts w:hAnsi="宋体" w:cs="宋体"/>
          <w:color w:val="auto"/>
        </w:rPr>
      </w:pPr>
      <w:r>
        <w:rPr>
          <w:rFonts w:hint="eastAsia" w:hAnsi="宋体" w:cs="宋体"/>
          <w:color w:val="auto"/>
        </w:rPr>
        <w:t>（7）未根据代理委托协议的委托范围组织采购活动的，或随意更改采购人的采购需求但没有提出合理理由的。</w:t>
      </w:r>
    </w:p>
    <w:p>
      <w:pPr>
        <w:pStyle w:val="28"/>
        <w:snapToGrid w:val="0"/>
        <w:spacing w:line="460" w:lineRule="exact"/>
        <w:ind w:firstLine="480" w:firstLineChars="200"/>
        <w:jc w:val="both"/>
        <w:rPr>
          <w:rFonts w:hAnsi="宋体" w:cs="宋体"/>
          <w:color w:val="auto"/>
        </w:rPr>
      </w:pPr>
      <w:r>
        <w:rPr>
          <w:rFonts w:hint="eastAsia" w:hAnsi="宋体" w:cs="宋体"/>
          <w:color w:val="auto"/>
        </w:rPr>
        <w:t>（8）不遵循法律法规规定的招投标程序实施代理的。</w:t>
      </w:r>
    </w:p>
    <w:p>
      <w:pPr>
        <w:pStyle w:val="28"/>
        <w:snapToGrid w:val="0"/>
        <w:spacing w:line="460" w:lineRule="exact"/>
        <w:ind w:firstLine="480" w:firstLineChars="200"/>
        <w:jc w:val="both"/>
        <w:rPr>
          <w:rFonts w:hAnsi="宋体" w:cs="宋体"/>
          <w:color w:val="auto"/>
        </w:rPr>
      </w:pPr>
      <w:r>
        <w:rPr>
          <w:rFonts w:hint="eastAsia" w:hAnsi="宋体" w:cs="宋体"/>
          <w:color w:val="auto"/>
        </w:rPr>
        <w:t>（9）泄露应当保密的与招投标活动有关的情况和资料的。</w:t>
      </w:r>
    </w:p>
    <w:p>
      <w:pPr>
        <w:pStyle w:val="28"/>
        <w:snapToGrid w:val="0"/>
        <w:spacing w:line="460" w:lineRule="exact"/>
        <w:ind w:firstLine="480" w:firstLineChars="200"/>
        <w:jc w:val="both"/>
        <w:rPr>
          <w:rFonts w:hAnsi="宋体" w:cs="宋体"/>
          <w:color w:val="auto"/>
        </w:rPr>
      </w:pPr>
      <w:r>
        <w:rPr>
          <w:rFonts w:hint="eastAsia" w:hAnsi="宋体" w:cs="宋体"/>
          <w:color w:val="auto"/>
        </w:rPr>
        <w:t>（10）接受监督检查或汇报工作时，弄虚作假、隐瞒事实真相的。</w:t>
      </w:r>
    </w:p>
    <w:p>
      <w:pPr>
        <w:pStyle w:val="28"/>
        <w:snapToGrid w:val="0"/>
        <w:spacing w:line="460" w:lineRule="exact"/>
        <w:ind w:firstLine="480" w:firstLineChars="200"/>
        <w:jc w:val="both"/>
        <w:rPr>
          <w:rFonts w:hAnsi="宋体" w:cs="宋体"/>
          <w:color w:val="auto"/>
        </w:rPr>
      </w:pPr>
      <w:r>
        <w:rPr>
          <w:rFonts w:hint="eastAsia" w:hAnsi="宋体" w:cs="宋体"/>
          <w:color w:val="auto"/>
        </w:rPr>
        <w:t>（11）法律法规禁止的其他行为。</w:t>
      </w:r>
    </w:p>
    <w:bookmarkEnd w:id="32"/>
    <w:p>
      <w:pPr>
        <w:pStyle w:val="18"/>
        <w:widowControl/>
        <w:adjustRightInd w:val="0"/>
        <w:spacing w:before="75" w:beforeAutospacing="0" w:after="75" w:afterAutospacing="0" w:line="360" w:lineRule="auto"/>
        <w:ind w:firstLine="480" w:firstLineChars="200"/>
        <w:outlineLvl w:val="0"/>
        <w:rPr>
          <w:rStyle w:val="24"/>
          <w:rFonts w:ascii="宋体" w:hAnsi="宋体" w:cs="宋体"/>
          <w:b w:val="0"/>
          <w:bCs/>
          <w:shd w:val="clear" w:color="auto" w:fill="FFFFFF"/>
        </w:rPr>
      </w:pPr>
      <w:r>
        <w:rPr>
          <w:rStyle w:val="24"/>
          <w:rFonts w:hint="eastAsia" w:ascii="宋体" w:hAnsi="宋体" w:cs="宋体"/>
          <w:b w:val="0"/>
          <w:bCs/>
          <w:shd w:val="clear" w:color="auto" w:fill="FFFFFF"/>
        </w:rPr>
        <w:t>3.本项目不得转包及分包，一经发现，取消成交供应商成交资格，没收成交供应商履约保证金，并按照《天津大学福州国际研究院招标采购代理机构管理办法》进行处理。</w:t>
      </w:r>
    </w:p>
    <w:p>
      <w:pPr>
        <w:pStyle w:val="18"/>
        <w:widowControl/>
        <w:adjustRightInd w:val="0"/>
        <w:spacing w:before="75" w:beforeAutospacing="0" w:after="75" w:afterAutospacing="0"/>
        <w:jc w:val="center"/>
        <w:outlineLvl w:val="0"/>
        <w:rPr>
          <w:rStyle w:val="24"/>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jc w:val="center"/>
        <w:outlineLvl w:val="0"/>
        <w:rPr>
          <w:rStyle w:val="24"/>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jc w:val="center"/>
        <w:outlineLvl w:val="0"/>
        <w:rPr>
          <w:rStyle w:val="24"/>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jc w:val="center"/>
        <w:outlineLvl w:val="0"/>
        <w:rPr>
          <w:rStyle w:val="24"/>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jc w:val="center"/>
        <w:outlineLvl w:val="0"/>
        <w:rPr>
          <w:rStyle w:val="24"/>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jc w:val="center"/>
        <w:outlineLvl w:val="0"/>
        <w:rPr>
          <w:rStyle w:val="24"/>
          <w:rFonts w:ascii="宋体" w:hAnsi="宋体" w:cs="宋体"/>
          <w:color w:val="000000" w:themeColor="text1"/>
          <w:shd w:val="clear" w:color="auto" w:fill="FFFFFF"/>
          <w14:textFill>
            <w14:solidFill>
              <w14:schemeClr w14:val="tx1"/>
            </w14:solidFill>
          </w14:textFill>
        </w:rPr>
        <w:sectPr>
          <w:footerReference r:id="rId3" w:type="default"/>
          <w:pgSz w:w="11906" w:h="16838"/>
          <w:pgMar w:top="1440" w:right="1906" w:bottom="1440" w:left="1380" w:header="851" w:footer="992" w:gutter="0"/>
          <w:cols w:space="720" w:num="1"/>
          <w:docGrid w:type="lines" w:linePitch="312" w:charSpace="0"/>
        </w:sectPr>
      </w:pPr>
    </w:p>
    <w:p>
      <w:pPr>
        <w:pStyle w:val="18"/>
        <w:widowControl/>
        <w:adjustRightInd w:val="0"/>
        <w:spacing w:before="75" w:beforeAutospacing="0" w:after="75" w:afterAutospacing="0"/>
        <w:jc w:val="center"/>
        <w:outlineLvl w:val="0"/>
        <w:rPr>
          <w:rFonts w:ascii="宋体" w:hAnsi="宋体" w:cs="宋体"/>
          <w:color w:val="000000" w:themeColor="text1"/>
          <w:sz w:val="36"/>
          <w:szCs w:val="36"/>
          <w14:textFill>
            <w14:solidFill>
              <w14:schemeClr w14:val="tx1"/>
            </w14:solidFill>
          </w14:textFill>
        </w:rPr>
      </w:pPr>
      <w:r>
        <w:rPr>
          <w:rStyle w:val="24"/>
          <w:rFonts w:hint="eastAsia" w:ascii="宋体" w:hAnsi="宋体" w:cs="宋体"/>
          <w:color w:val="000000" w:themeColor="text1"/>
          <w:sz w:val="36"/>
          <w:szCs w:val="36"/>
          <w:shd w:val="clear" w:color="auto" w:fill="FFFFFF"/>
          <w14:textFill>
            <w14:solidFill>
              <w14:schemeClr w14:val="tx1"/>
            </w14:solidFill>
          </w14:textFill>
        </w:rPr>
        <w:t>第四章  合同主要条款及格式</w:t>
      </w:r>
      <w:bookmarkEnd w:id="28"/>
    </w:p>
    <w:p>
      <w:pPr>
        <w:pStyle w:val="18"/>
        <w:widowControl/>
        <w:adjustRightInd w:val="0"/>
        <w:spacing w:before="75" w:beforeAutospacing="0" w:after="75" w:afterAutospacing="0"/>
        <w:jc w:val="center"/>
        <w:rPr>
          <w:rStyle w:val="24"/>
          <w:rFonts w:ascii="宋体" w:hAnsi="宋体" w:cs="宋体"/>
          <w:color w:val="000000" w:themeColor="text1"/>
          <w:shd w:val="clear" w:color="auto" w:fill="FFFFFF"/>
          <w14:textFill>
            <w14:solidFill>
              <w14:schemeClr w14:val="tx1"/>
            </w14:solidFill>
          </w14:textFill>
        </w:rPr>
      </w:pPr>
    </w:p>
    <w:p>
      <w:pPr>
        <w:wordWrap w:val="0"/>
        <w:ind w:left="-525" w:leftChars="-250" w:right="-502" w:rightChars="-239"/>
        <w:jc w:val="right"/>
        <w:rPr>
          <w:rFonts w:ascii="Times New Roman" w:hAnsi="Times New Roman"/>
          <w:sz w:val="24"/>
          <w:szCs w:val="15"/>
        </w:rPr>
      </w:pPr>
      <w:r>
        <w:rPr>
          <w:rFonts w:hint="eastAsia" w:asciiTheme="minorEastAsia" w:hAnsiTheme="minorEastAsia" w:eastAsiaTheme="minorEastAsia" w:cstheme="minorEastAsia"/>
          <w:sz w:val="24"/>
          <w:szCs w:val="15"/>
        </w:rPr>
        <w:t xml:space="preserve">合同编号：QTZCB-WT-2023- </w:t>
      </w:r>
      <w:r>
        <w:rPr>
          <w:rFonts w:ascii="Times New Roman" w:hAnsi="Times New Roman"/>
          <w:sz w:val="24"/>
          <w:szCs w:val="15"/>
        </w:rPr>
        <w:t xml:space="preserve">       </w:t>
      </w:r>
    </w:p>
    <w:p>
      <w:pPr>
        <w:pStyle w:val="8"/>
      </w:pPr>
    </w:p>
    <w:p>
      <w:pPr>
        <w:pStyle w:val="8"/>
      </w:pPr>
    </w:p>
    <w:p>
      <w:pPr>
        <w:ind w:left="-525" w:leftChars="-250" w:right="-502" w:rightChars="-239"/>
        <w:jc w:val="center"/>
        <w:rPr>
          <w:rFonts w:ascii="宋体" w:hAnsi="宋体" w:cs="宋体"/>
          <w:szCs w:val="21"/>
        </w:rPr>
      </w:pPr>
      <w:r>
        <w:rPr>
          <w:rFonts w:ascii="Times New Roman" w:hAnsi="Times New Roman"/>
          <w:sz w:val="56"/>
          <w:szCs w:val="32"/>
        </w:rPr>
        <w:t>招标代理合同</w:t>
      </w:r>
    </w:p>
    <w:p>
      <w:pPr>
        <w:ind w:left="-525" w:leftChars="-250" w:right="-502" w:rightChars="-239"/>
        <w:jc w:val="center"/>
        <w:rPr>
          <w:rFonts w:ascii="Times New Roman" w:hAnsi="Times New Roman"/>
          <w:sz w:val="32"/>
          <w:szCs w:val="32"/>
        </w:rPr>
      </w:pPr>
    </w:p>
    <w:p>
      <w:pPr>
        <w:pStyle w:val="8"/>
      </w:pPr>
    </w:p>
    <w:p>
      <w:pPr>
        <w:ind w:left="-525" w:leftChars="-250" w:right="-502" w:rightChars="-239"/>
        <w:jc w:val="center"/>
        <w:rPr>
          <w:rFonts w:ascii="Times New Roman" w:hAnsi="Times New Roman"/>
          <w:sz w:val="32"/>
          <w:szCs w:val="32"/>
        </w:rPr>
      </w:pPr>
    </w:p>
    <w:p>
      <w:pPr>
        <w:ind w:left="-525" w:leftChars="-250" w:right="-502" w:rightChars="-239"/>
        <w:jc w:val="center"/>
        <w:rPr>
          <w:rFonts w:ascii="Times New Roman" w:hAnsi="Times New Roman"/>
          <w:sz w:val="32"/>
          <w:szCs w:val="32"/>
        </w:rPr>
      </w:pPr>
    </w:p>
    <w:p>
      <w:pPr>
        <w:ind w:left="-525" w:leftChars="-250" w:right="-502" w:rightChars="-239"/>
        <w:jc w:val="center"/>
        <w:rPr>
          <w:rFonts w:ascii="Times New Roman" w:hAnsi="Times New Roman"/>
          <w:sz w:val="32"/>
          <w:szCs w:val="32"/>
        </w:rPr>
      </w:pPr>
    </w:p>
    <w:p>
      <w:pPr>
        <w:ind w:left="-525" w:leftChars="-250" w:right="-502" w:rightChars="-239"/>
        <w:jc w:val="center"/>
        <w:rPr>
          <w:rFonts w:ascii="Times New Roman" w:hAnsi="Times New Roman"/>
          <w:sz w:val="32"/>
          <w:szCs w:val="32"/>
        </w:rPr>
      </w:pPr>
    </w:p>
    <w:p>
      <w:pPr>
        <w:ind w:left="-525" w:leftChars="-250" w:right="-502" w:rightChars="-239"/>
        <w:jc w:val="center"/>
        <w:rPr>
          <w:rFonts w:ascii="Times New Roman" w:hAnsi="Times New Roman"/>
          <w:sz w:val="32"/>
          <w:szCs w:val="32"/>
        </w:rPr>
      </w:pPr>
    </w:p>
    <w:p>
      <w:pPr>
        <w:ind w:left="-525" w:leftChars="-250" w:right="-502" w:rightChars="-239"/>
        <w:jc w:val="center"/>
        <w:rPr>
          <w:rFonts w:ascii="Times New Roman" w:hAnsi="Times New Roman"/>
          <w:sz w:val="32"/>
          <w:szCs w:val="32"/>
        </w:rPr>
      </w:pPr>
    </w:p>
    <w:p>
      <w:pPr>
        <w:ind w:left="-525" w:leftChars="-250" w:right="-502" w:rightChars="-239"/>
        <w:jc w:val="center"/>
        <w:rPr>
          <w:rFonts w:ascii="Times New Roman" w:hAnsi="Times New Roman"/>
          <w:sz w:val="32"/>
          <w:szCs w:val="32"/>
        </w:rPr>
      </w:pPr>
    </w:p>
    <w:p>
      <w:pPr>
        <w:ind w:left="-525" w:leftChars="-250" w:right="-502" w:rightChars="-239"/>
        <w:jc w:val="center"/>
        <w:rPr>
          <w:rFonts w:ascii="Times New Roman" w:hAnsi="Times New Roman"/>
          <w:sz w:val="32"/>
          <w:szCs w:val="32"/>
        </w:rPr>
      </w:pPr>
    </w:p>
    <w:p>
      <w:pPr>
        <w:ind w:left="567" w:leftChars="270" w:right="-502" w:rightChars="-239"/>
        <w:rPr>
          <w:rFonts w:ascii="Times New Roman" w:hAnsi="Times New Roman"/>
          <w:snapToGrid w:val="0"/>
          <w:kern w:val="0"/>
          <w:sz w:val="30"/>
          <w:szCs w:val="30"/>
        </w:rPr>
      </w:pPr>
      <w:r>
        <w:rPr>
          <w:rFonts w:ascii="Times New Roman" w:hAnsi="Times New Roman"/>
          <w:snapToGrid w:val="0"/>
          <w:kern w:val="0"/>
          <w:sz w:val="30"/>
          <w:szCs w:val="30"/>
        </w:rPr>
        <w:t>项目名称：</w:t>
      </w:r>
      <w:r>
        <w:rPr>
          <w:rFonts w:hint="eastAsia" w:ascii="Times New Roman" w:hAnsi="Times New Roman"/>
          <w:snapToGrid w:val="0"/>
          <w:kern w:val="0"/>
          <w:sz w:val="30"/>
          <w:szCs w:val="30"/>
          <w:u w:val="single"/>
        </w:rPr>
        <w:t>天津大学福州国际联合学院2023-2024年度招标代理服务</w:t>
      </w:r>
    </w:p>
    <w:p>
      <w:pPr>
        <w:ind w:left="567" w:leftChars="270" w:right="-502" w:rightChars="-239"/>
        <w:rPr>
          <w:rFonts w:ascii="Times New Roman" w:hAnsi="Times New Roman"/>
          <w:snapToGrid w:val="0"/>
          <w:kern w:val="0"/>
          <w:sz w:val="30"/>
          <w:szCs w:val="30"/>
          <w:u w:val="single"/>
        </w:rPr>
      </w:pPr>
      <w:r>
        <w:rPr>
          <w:rFonts w:ascii="Times New Roman" w:hAnsi="Times New Roman"/>
          <w:snapToGrid w:val="0"/>
          <w:kern w:val="0"/>
          <w:sz w:val="30"/>
          <w:szCs w:val="30"/>
        </w:rPr>
        <w:t>委 托 人：</w:t>
      </w:r>
      <w:r>
        <w:rPr>
          <w:rFonts w:ascii="Times New Roman" w:hAnsi="Times New Roman"/>
          <w:snapToGrid w:val="0"/>
          <w:kern w:val="0"/>
          <w:sz w:val="30"/>
          <w:szCs w:val="30"/>
          <w:u w:val="single"/>
        </w:rPr>
        <w:t>天津大学福州国际联合学院</w:t>
      </w:r>
    </w:p>
    <w:p>
      <w:pPr>
        <w:ind w:left="567" w:leftChars="270" w:right="-502" w:rightChars="-239"/>
        <w:rPr>
          <w:rFonts w:ascii="Times New Roman" w:hAnsi="Times New Roman"/>
          <w:snapToGrid w:val="0"/>
          <w:kern w:val="0"/>
          <w:sz w:val="30"/>
          <w:szCs w:val="30"/>
          <w:u w:val="single"/>
        </w:rPr>
      </w:pPr>
      <w:r>
        <w:rPr>
          <w:rFonts w:hint="eastAsia" w:ascii="Times New Roman" w:hAnsi="Times New Roman"/>
          <w:snapToGrid w:val="0"/>
          <w:kern w:val="0"/>
          <w:sz w:val="30"/>
          <w:szCs w:val="30"/>
        </w:rPr>
        <w:t>受</w:t>
      </w:r>
      <w:r>
        <w:rPr>
          <w:rFonts w:ascii="Times New Roman" w:hAnsi="Times New Roman"/>
          <w:snapToGrid w:val="0"/>
          <w:kern w:val="0"/>
          <w:sz w:val="30"/>
          <w:szCs w:val="30"/>
        </w:rPr>
        <w:t xml:space="preserve"> </w:t>
      </w:r>
      <w:r>
        <w:rPr>
          <w:rFonts w:hint="eastAsia" w:ascii="Times New Roman" w:hAnsi="Times New Roman"/>
          <w:snapToGrid w:val="0"/>
          <w:kern w:val="0"/>
          <w:sz w:val="30"/>
          <w:szCs w:val="30"/>
        </w:rPr>
        <w:t>托</w:t>
      </w:r>
      <w:r>
        <w:rPr>
          <w:rFonts w:ascii="Times New Roman" w:hAnsi="Times New Roman"/>
          <w:snapToGrid w:val="0"/>
          <w:kern w:val="0"/>
          <w:sz w:val="30"/>
          <w:szCs w:val="30"/>
        </w:rPr>
        <w:t xml:space="preserve"> 人：</w:t>
      </w:r>
      <w:r>
        <w:rPr>
          <w:rFonts w:hint="eastAsia" w:ascii="Times New Roman" w:hAnsi="Times New Roman"/>
          <w:snapToGrid w:val="0"/>
          <w:kern w:val="0"/>
          <w:sz w:val="30"/>
          <w:szCs w:val="30"/>
        </w:rPr>
        <w:t xml:space="preserve">                  </w:t>
      </w:r>
      <w:r>
        <w:rPr>
          <w:rFonts w:hint="eastAsia" w:ascii="Times New Roman" w:hAnsi="Times New Roman"/>
          <w:snapToGrid w:val="0"/>
          <w:kern w:val="0"/>
          <w:sz w:val="30"/>
          <w:szCs w:val="30"/>
          <w:u w:val="single"/>
        </w:rPr>
        <w:t xml:space="preserve">  </w:t>
      </w:r>
      <w:r>
        <w:rPr>
          <w:rFonts w:ascii="Times New Roman" w:hAnsi="Times New Roman"/>
          <w:snapToGrid w:val="0"/>
          <w:kern w:val="0"/>
          <w:sz w:val="30"/>
          <w:szCs w:val="30"/>
          <w:u w:val="single"/>
        </w:rPr>
        <w:t xml:space="preserve"> </w:t>
      </w:r>
    </w:p>
    <w:p>
      <w:pPr>
        <w:widowControl/>
        <w:spacing w:line="360" w:lineRule="auto"/>
        <w:ind w:left="567" w:leftChars="270" w:right="-502" w:rightChars="-239"/>
        <w:jc w:val="center"/>
        <w:rPr>
          <w:rFonts w:ascii="Times New Roman" w:hAnsi="Times New Roman"/>
          <w:kern w:val="0"/>
          <w:sz w:val="30"/>
          <w:szCs w:val="30"/>
        </w:rPr>
        <w:sectPr>
          <w:headerReference r:id="rId4" w:type="first"/>
          <w:footerReference r:id="rId5" w:type="default"/>
          <w:pgSz w:w="11906" w:h="16838"/>
          <w:pgMar w:top="1440" w:right="1800" w:bottom="1440" w:left="1800" w:header="851" w:footer="992" w:gutter="0"/>
          <w:cols w:space="720" w:num="1"/>
          <w:docGrid w:type="lines" w:linePitch="312" w:charSpace="0"/>
        </w:sectPr>
      </w:pPr>
    </w:p>
    <w:p>
      <w:pPr>
        <w:keepNext/>
        <w:keepLines/>
        <w:ind w:left="-4" w:leftChars="-2" w:firstLine="3" w:firstLineChars="1"/>
        <w:jc w:val="center"/>
        <w:outlineLvl w:val="0"/>
        <w:rPr>
          <w:rFonts w:ascii="华文中宋" w:hAnsi="华文中宋" w:eastAsia="华文中宋" w:cs="宋体"/>
          <w:b/>
          <w:bCs/>
          <w:kern w:val="0"/>
          <w:sz w:val="28"/>
          <w:szCs w:val="28"/>
        </w:rPr>
      </w:pPr>
      <w:bookmarkStart w:id="33" w:name="_Toc8978"/>
      <w:bookmarkStart w:id="34" w:name="_Toc422322470"/>
      <w:bookmarkStart w:id="35" w:name="_Toc419045055"/>
      <w:bookmarkStart w:id="36" w:name="_Toc1822"/>
      <w:r>
        <w:rPr>
          <w:rFonts w:hint="eastAsia" w:ascii="华文中宋" w:hAnsi="华文中宋" w:eastAsia="华文中宋" w:cs="宋体"/>
          <w:b/>
          <w:bCs/>
          <w:kern w:val="0"/>
          <w:sz w:val="28"/>
          <w:szCs w:val="28"/>
        </w:rPr>
        <w:t>第一部分　协议书</w:t>
      </w:r>
      <w:bookmarkEnd w:id="33"/>
      <w:bookmarkEnd w:id="34"/>
      <w:bookmarkEnd w:id="35"/>
      <w:bookmarkEnd w:id="36"/>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委托人：</w:t>
      </w:r>
      <w:r>
        <w:rPr>
          <w:rFonts w:hint="eastAsia" w:asciiTheme="minorEastAsia" w:hAnsiTheme="minorEastAsia" w:eastAsiaTheme="minorEastAsia" w:cstheme="minorEastAsia"/>
          <w:u w:val="single"/>
        </w:rPr>
        <w:t>天津大学福州国际联合学院</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受托人：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依照《中华人民共和国民法典》、《中华人民共和国招标投标法》及国家的有关法律、行政法规，遵循平等、自愿、公平和诚实信用的原则，双方就</w:t>
      </w:r>
      <w:r>
        <w:rPr>
          <w:rFonts w:hint="eastAsia" w:asciiTheme="minorEastAsia" w:hAnsiTheme="minorEastAsia" w:eastAsiaTheme="minorEastAsia" w:cstheme="minorEastAsia"/>
          <w:u w:val="single"/>
        </w:rPr>
        <w:t>天津大学福州国际联合学院2023-2024年度招标代理服务事宜</w:t>
      </w:r>
      <w:r>
        <w:rPr>
          <w:rFonts w:hint="eastAsia" w:asciiTheme="minorEastAsia" w:hAnsiTheme="minorEastAsia" w:eastAsiaTheme="minorEastAsia" w:cstheme="minorEastAsia"/>
        </w:rPr>
        <w:t>协商一致，订立本合同。</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一、项目概况</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u w:val="single"/>
        </w:rPr>
        <w:t>天津大学福州国际联合学院2023-2024年度招标代理服务</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地    点： </w:t>
      </w:r>
      <w:r>
        <w:rPr>
          <w:rFonts w:hint="eastAsia" w:asciiTheme="minorEastAsia" w:hAnsiTheme="minorEastAsia" w:eastAsiaTheme="minorEastAsia" w:cstheme="minorEastAsia"/>
          <w:u w:val="single"/>
        </w:rPr>
        <w:t>福建省福州新区·长乐区善政路1号</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二、委托人委托受托人为</w:t>
      </w:r>
      <w:r>
        <w:rPr>
          <w:rFonts w:hint="eastAsia" w:asciiTheme="minorEastAsia" w:hAnsiTheme="minorEastAsia" w:eastAsiaTheme="minorEastAsia" w:cstheme="minorEastAsia"/>
          <w:u w:val="single"/>
        </w:rPr>
        <w:t>天津大学福州国际联合学院2023-2024年度招标的</w:t>
      </w:r>
      <w:r>
        <w:rPr>
          <w:rFonts w:hint="eastAsia" w:asciiTheme="minorEastAsia" w:hAnsiTheme="minorEastAsia" w:eastAsiaTheme="minorEastAsia" w:cstheme="minorEastAsia"/>
        </w:rPr>
        <w:t>招标代理机构，承担本项目的招标代理工作。</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三、合同价款 </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代理报酬为：按</w:t>
      </w:r>
      <w:r>
        <w:rPr>
          <w:rFonts w:hint="eastAsia" w:asciiTheme="minorEastAsia" w:hAnsiTheme="minorEastAsia" w:eastAsiaTheme="minorEastAsia" w:cstheme="minorEastAsia"/>
          <w:u w:val="single"/>
        </w:rPr>
        <w:t>照《国家计委关于印发招标代理服务收费管理暂行办法的通知（计价格〔2002〕1980号）》《国家发展改革委办公厅关于招标代理服务收费有关问题的通知（发改办价格〔2003〕857号）》等文件的有关规定采用差额定率累进法计算的   %收取。代理报酬包含在招标代理业务范围内所发生的费用，如评标会务费，评标专家的劳务费、差旅费，公证费等。</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由中标人支付代理报酬，在中标人与委托人签订采购合同后5日内，将本合同约定的全部委托代理报酬一次性支付给受托人。</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四、组成本合同的文件：</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1、本合同履行过程中双方以书面形式签署的补充和修正文件；</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2、本合同协议书；</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3、本合同专用条款；</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4、本合同通用条款。</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五、本协议书中的有关词语定义与本合同第一部分《通用条款》中分别赋予它们的定义相同。</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六、受托人向委托人承诺，按照本合同的约定，承担本合同专用条款中约定范围内的代理业务。</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七、委托人向受托人承诺，按照本合同的约定，确保代理报酬的支付。</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八、本项目服务期限为自合同签订起至2024年12月31日止。</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合同订立时间：</w:t>
      </w:r>
      <w:r>
        <w:rPr>
          <w:rFonts w:hint="eastAsia" w:asciiTheme="minorEastAsia" w:hAnsiTheme="minorEastAsia" w:eastAsiaTheme="minorEastAsia" w:cstheme="minorEastAsia"/>
          <w:u w:val="single"/>
        </w:rPr>
        <w:t>2023</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合同订立地点：</w:t>
      </w:r>
      <w:r>
        <w:rPr>
          <w:rFonts w:hint="eastAsia" w:asciiTheme="minorEastAsia" w:hAnsiTheme="minorEastAsia" w:eastAsiaTheme="minorEastAsia" w:cstheme="minorEastAsia"/>
          <w:u w:val="single"/>
        </w:rPr>
        <w:t>福州市</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九、合同生效</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本合同双方约定</w:t>
      </w:r>
      <w:r>
        <w:rPr>
          <w:rFonts w:hint="eastAsia" w:asciiTheme="minorEastAsia" w:hAnsiTheme="minorEastAsia" w:eastAsiaTheme="minorEastAsia" w:cstheme="minorEastAsia"/>
          <w:u w:val="single"/>
        </w:rPr>
        <w:t>双方签字盖章</w:t>
      </w:r>
      <w:r>
        <w:rPr>
          <w:rFonts w:hint="eastAsia" w:asciiTheme="minorEastAsia" w:hAnsiTheme="minorEastAsia" w:eastAsiaTheme="minorEastAsia" w:cstheme="minorEastAsia"/>
        </w:rPr>
        <w:t>后生效</w:t>
      </w:r>
    </w:p>
    <w:p>
      <w:pPr>
        <w:spacing w:line="420" w:lineRule="exact"/>
        <w:rPr>
          <w:rFonts w:asciiTheme="minorEastAsia" w:hAnsiTheme="minorEastAsia" w:eastAsiaTheme="minorEastAsia" w:cstheme="minorEastAsia"/>
        </w:rPr>
      </w:pPr>
    </w:p>
    <w:tbl>
      <w:tblPr>
        <w:tblStyle w:val="21"/>
        <w:tblW w:w="8306" w:type="dxa"/>
        <w:tblInd w:w="0" w:type="dxa"/>
        <w:tblLayout w:type="fixed"/>
        <w:tblCellMar>
          <w:top w:w="0" w:type="dxa"/>
          <w:left w:w="108" w:type="dxa"/>
          <w:bottom w:w="0" w:type="dxa"/>
          <w:right w:w="108" w:type="dxa"/>
        </w:tblCellMar>
      </w:tblPr>
      <w:tblGrid>
        <w:gridCol w:w="1560"/>
        <w:gridCol w:w="2268"/>
        <w:gridCol w:w="1701"/>
        <w:gridCol w:w="2777"/>
      </w:tblGrid>
      <w:tr>
        <w:tblPrEx>
          <w:tblCellMar>
            <w:top w:w="0" w:type="dxa"/>
            <w:left w:w="108" w:type="dxa"/>
            <w:bottom w:w="0" w:type="dxa"/>
            <w:right w:w="108" w:type="dxa"/>
          </w:tblCellMar>
        </w:tblPrEx>
        <w:trPr>
          <w:trHeight w:val="624" w:hRule="atLeast"/>
        </w:trPr>
        <w:tc>
          <w:tcPr>
            <w:tcW w:w="1560" w:type="dxa"/>
            <w:tcBorders>
              <w:top w:val="nil"/>
              <w:left w:val="nil"/>
              <w:bottom w:val="nil"/>
              <w:right w:val="nil"/>
            </w:tcBorders>
            <w:shd w:val="clear" w:color="auto" w:fill="auto"/>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委托人(盖章）：                    </w:t>
            </w:r>
          </w:p>
        </w:tc>
        <w:tc>
          <w:tcPr>
            <w:tcW w:w="2268" w:type="dxa"/>
            <w:tcBorders>
              <w:top w:val="nil"/>
              <w:left w:val="nil"/>
              <w:bottom w:val="nil"/>
              <w:right w:val="nil"/>
            </w:tcBorders>
            <w:shd w:val="clear" w:color="auto" w:fill="auto"/>
            <w:vAlign w:val="center"/>
          </w:tcPr>
          <w:p>
            <w:pPr>
              <w:widowControl/>
              <w:spacing w:line="360" w:lineRule="auto"/>
              <w:rPr>
                <w:rFonts w:asciiTheme="minorEastAsia" w:hAnsiTheme="minorEastAsia" w:eastAsiaTheme="minorEastAsia" w:cstheme="minorEastAsia"/>
              </w:rPr>
            </w:pPr>
          </w:p>
        </w:tc>
        <w:tc>
          <w:tcPr>
            <w:tcW w:w="1701" w:type="dxa"/>
            <w:tcBorders>
              <w:top w:val="nil"/>
              <w:left w:val="nil"/>
              <w:bottom w:val="nil"/>
              <w:right w:val="nil"/>
            </w:tcBorders>
            <w:shd w:val="clear" w:color="auto" w:fill="auto"/>
            <w:vAlign w:val="center"/>
          </w:tcPr>
          <w:p>
            <w:pPr>
              <w:widowControl/>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受托人(盖章）： </w:t>
            </w:r>
          </w:p>
        </w:tc>
        <w:tc>
          <w:tcPr>
            <w:tcW w:w="2777" w:type="dxa"/>
            <w:tcBorders>
              <w:top w:val="nil"/>
              <w:left w:val="nil"/>
              <w:bottom w:val="nil"/>
              <w:right w:val="nil"/>
            </w:tcBorders>
          </w:tcPr>
          <w:p>
            <w:pPr>
              <w:widowControl/>
              <w:spacing w:line="360" w:lineRule="auto"/>
              <w:jc w:val="left"/>
              <w:rPr>
                <w:rFonts w:asciiTheme="minorEastAsia" w:hAnsiTheme="minorEastAsia" w:eastAsiaTheme="minorEastAsia" w:cstheme="minorEastAsia"/>
              </w:rPr>
            </w:pPr>
          </w:p>
        </w:tc>
      </w:tr>
      <w:tr>
        <w:tblPrEx>
          <w:tblCellMar>
            <w:top w:w="0" w:type="dxa"/>
            <w:left w:w="108" w:type="dxa"/>
            <w:bottom w:w="0" w:type="dxa"/>
            <w:right w:w="108" w:type="dxa"/>
          </w:tblCellMar>
        </w:tblPrEx>
        <w:trPr>
          <w:trHeight w:val="624" w:hRule="atLeast"/>
        </w:trPr>
        <w:tc>
          <w:tcPr>
            <w:tcW w:w="1560" w:type="dxa"/>
            <w:tcBorders>
              <w:top w:val="nil"/>
              <w:left w:val="nil"/>
              <w:bottom w:val="nil"/>
              <w:right w:val="nil"/>
            </w:tcBorders>
            <w:shd w:val="clear" w:color="auto" w:fill="auto"/>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法定代表人</w:t>
            </w:r>
          </w:p>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(签字或盖章）：          </w:t>
            </w:r>
          </w:p>
        </w:tc>
        <w:tc>
          <w:tcPr>
            <w:tcW w:w="2268" w:type="dxa"/>
            <w:tcBorders>
              <w:top w:val="nil"/>
              <w:left w:val="nil"/>
              <w:bottom w:val="nil"/>
              <w:right w:val="nil"/>
            </w:tcBorders>
            <w:shd w:val="clear" w:color="auto" w:fill="auto"/>
            <w:vAlign w:val="center"/>
          </w:tcPr>
          <w:p>
            <w:pPr>
              <w:widowControl/>
              <w:spacing w:line="360" w:lineRule="auto"/>
              <w:rPr>
                <w:rFonts w:asciiTheme="minorEastAsia" w:hAnsiTheme="minorEastAsia" w:eastAsiaTheme="minorEastAsia" w:cstheme="minorEastAsia"/>
              </w:rPr>
            </w:pPr>
          </w:p>
        </w:tc>
        <w:tc>
          <w:tcPr>
            <w:tcW w:w="1701" w:type="dxa"/>
            <w:tcBorders>
              <w:top w:val="nil"/>
              <w:left w:val="nil"/>
              <w:bottom w:val="nil"/>
              <w:right w:val="nil"/>
            </w:tcBorders>
            <w:shd w:val="clear" w:color="auto" w:fill="auto"/>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法定代表人</w:t>
            </w:r>
          </w:p>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(签字或盖章）：</w:t>
            </w:r>
          </w:p>
        </w:tc>
        <w:tc>
          <w:tcPr>
            <w:tcW w:w="2777" w:type="dxa"/>
            <w:tcBorders>
              <w:top w:val="nil"/>
              <w:left w:val="nil"/>
              <w:bottom w:val="nil"/>
              <w:right w:val="nil"/>
            </w:tcBorders>
          </w:tcPr>
          <w:p>
            <w:pPr>
              <w:widowControl/>
              <w:spacing w:line="360" w:lineRule="auto"/>
              <w:jc w:val="left"/>
              <w:rPr>
                <w:rFonts w:asciiTheme="minorEastAsia" w:hAnsiTheme="minorEastAsia" w:eastAsiaTheme="minorEastAsia" w:cstheme="minorEastAsia"/>
              </w:rPr>
            </w:pPr>
          </w:p>
        </w:tc>
      </w:tr>
      <w:tr>
        <w:tblPrEx>
          <w:tblCellMar>
            <w:top w:w="0" w:type="dxa"/>
            <w:left w:w="108" w:type="dxa"/>
            <w:bottom w:w="0" w:type="dxa"/>
            <w:right w:w="108" w:type="dxa"/>
          </w:tblCellMar>
        </w:tblPrEx>
        <w:trPr>
          <w:trHeight w:val="624" w:hRule="atLeast"/>
        </w:trPr>
        <w:tc>
          <w:tcPr>
            <w:tcW w:w="1560" w:type="dxa"/>
            <w:tcBorders>
              <w:top w:val="nil"/>
              <w:left w:val="nil"/>
              <w:bottom w:val="nil"/>
              <w:right w:val="nil"/>
            </w:tcBorders>
            <w:shd w:val="clear" w:color="auto" w:fill="auto"/>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授权代理人</w:t>
            </w:r>
          </w:p>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(签字或盖章）：          </w:t>
            </w:r>
          </w:p>
        </w:tc>
        <w:tc>
          <w:tcPr>
            <w:tcW w:w="2268" w:type="dxa"/>
            <w:tcBorders>
              <w:top w:val="nil"/>
              <w:left w:val="nil"/>
              <w:bottom w:val="nil"/>
              <w:right w:val="nil"/>
            </w:tcBorders>
            <w:shd w:val="clear" w:color="auto" w:fill="auto"/>
            <w:vAlign w:val="center"/>
          </w:tcPr>
          <w:p>
            <w:pPr>
              <w:widowControl/>
              <w:spacing w:line="360" w:lineRule="auto"/>
              <w:rPr>
                <w:rFonts w:asciiTheme="minorEastAsia" w:hAnsiTheme="minorEastAsia" w:eastAsiaTheme="minorEastAsia" w:cstheme="minorEastAsia"/>
              </w:rPr>
            </w:pPr>
          </w:p>
        </w:tc>
        <w:tc>
          <w:tcPr>
            <w:tcW w:w="1701" w:type="dxa"/>
            <w:tcBorders>
              <w:top w:val="nil"/>
              <w:left w:val="nil"/>
              <w:bottom w:val="nil"/>
              <w:right w:val="nil"/>
            </w:tcBorders>
            <w:shd w:val="clear" w:color="auto" w:fill="auto"/>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代理人</w:t>
            </w:r>
          </w:p>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(签字或盖章）：</w:t>
            </w:r>
          </w:p>
        </w:tc>
        <w:tc>
          <w:tcPr>
            <w:tcW w:w="2777" w:type="dxa"/>
            <w:tcBorders>
              <w:top w:val="nil"/>
              <w:left w:val="nil"/>
              <w:bottom w:val="nil"/>
              <w:right w:val="nil"/>
            </w:tcBorders>
          </w:tcPr>
          <w:p>
            <w:pPr>
              <w:widowControl/>
              <w:spacing w:line="360" w:lineRule="auto"/>
              <w:jc w:val="left"/>
              <w:rPr>
                <w:rFonts w:asciiTheme="minorEastAsia" w:hAnsiTheme="minorEastAsia" w:eastAsiaTheme="minorEastAsia" w:cstheme="minorEastAsia"/>
              </w:rPr>
            </w:pPr>
          </w:p>
        </w:tc>
      </w:tr>
      <w:tr>
        <w:tblPrEx>
          <w:tblCellMar>
            <w:top w:w="0" w:type="dxa"/>
            <w:left w:w="108" w:type="dxa"/>
            <w:bottom w:w="0" w:type="dxa"/>
            <w:right w:w="108" w:type="dxa"/>
          </w:tblCellMar>
        </w:tblPrEx>
        <w:trPr>
          <w:trHeight w:val="624" w:hRule="atLeast"/>
        </w:trPr>
        <w:tc>
          <w:tcPr>
            <w:tcW w:w="1560" w:type="dxa"/>
            <w:tcBorders>
              <w:top w:val="nil"/>
              <w:left w:val="nil"/>
              <w:bottom w:val="nil"/>
              <w:right w:val="nil"/>
            </w:tcBorders>
            <w:shd w:val="clear" w:color="auto" w:fill="auto"/>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单位地址：                            </w:t>
            </w:r>
          </w:p>
        </w:tc>
        <w:tc>
          <w:tcPr>
            <w:tcW w:w="2268" w:type="dxa"/>
            <w:tcBorders>
              <w:top w:val="nil"/>
              <w:left w:val="nil"/>
              <w:bottom w:val="nil"/>
              <w:right w:val="nil"/>
            </w:tcBorders>
            <w:shd w:val="clear" w:color="auto" w:fill="auto"/>
            <w:vAlign w:val="center"/>
          </w:tcPr>
          <w:p>
            <w:pPr>
              <w:widowControl/>
              <w:spacing w:line="360" w:lineRule="auto"/>
              <w:rPr>
                <w:rFonts w:asciiTheme="minorEastAsia" w:hAnsiTheme="minorEastAsia" w:eastAsiaTheme="minorEastAsia" w:cstheme="minorEastAsia"/>
              </w:rPr>
            </w:pPr>
          </w:p>
        </w:tc>
        <w:tc>
          <w:tcPr>
            <w:tcW w:w="1701" w:type="dxa"/>
            <w:tcBorders>
              <w:top w:val="nil"/>
              <w:left w:val="nil"/>
              <w:bottom w:val="nil"/>
              <w:right w:val="nil"/>
            </w:tcBorders>
            <w:shd w:val="clear" w:color="auto" w:fill="auto"/>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单位地址： </w:t>
            </w:r>
          </w:p>
        </w:tc>
        <w:tc>
          <w:tcPr>
            <w:tcW w:w="2777" w:type="dxa"/>
            <w:tcBorders>
              <w:top w:val="nil"/>
              <w:left w:val="nil"/>
              <w:bottom w:val="nil"/>
              <w:right w:val="nil"/>
            </w:tcBorders>
          </w:tcPr>
          <w:p>
            <w:pPr>
              <w:widowControl/>
              <w:spacing w:line="360" w:lineRule="auto"/>
              <w:jc w:val="left"/>
              <w:rPr>
                <w:rFonts w:asciiTheme="minorEastAsia" w:hAnsiTheme="minorEastAsia" w:eastAsiaTheme="minorEastAsia" w:cstheme="minorEastAsia"/>
              </w:rPr>
            </w:pPr>
          </w:p>
        </w:tc>
      </w:tr>
      <w:tr>
        <w:tblPrEx>
          <w:tblCellMar>
            <w:top w:w="0" w:type="dxa"/>
            <w:left w:w="108" w:type="dxa"/>
            <w:bottom w:w="0" w:type="dxa"/>
            <w:right w:w="108" w:type="dxa"/>
          </w:tblCellMar>
        </w:tblPrEx>
        <w:trPr>
          <w:trHeight w:val="624" w:hRule="atLeast"/>
        </w:trPr>
        <w:tc>
          <w:tcPr>
            <w:tcW w:w="1560" w:type="dxa"/>
            <w:tcBorders>
              <w:top w:val="nil"/>
              <w:left w:val="nil"/>
              <w:bottom w:val="nil"/>
              <w:right w:val="nil"/>
            </w:tcBorders>
            <w:shd w:val="clear" w:color="auto" w:fill="auto"/>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邮政编码：                        </w:t>
            </w:r>
          </w:p>
        </w:tc>
        <w:tc>
          <w:tcPr>
            <w:tcW w:w="2268" w:type="dxa"/>
            <w:tcBorders>
              <w:top w:val="nil"/>
              <w:left w:val="nil"/>
              <w:bottom w:val="nil"/>
              <w:right w:val="nil"/>
            </w:tcBorders>
            <w:shd w:val="clear" w:color="auto" w:fill="auto"/>
            <w:vAlign w:val="center"/>
          </w:tcPr>
          <w:p>
            <w:pPr>
              <w:widowControl/>
              <w:spacing w:line="360" w:lineRule="auto"/>
              <w:rPr>
                <w:rFonts w:asciiTheme="minorEastAsia" w:hAnsiTheme="minorEastAsia" w:eastAsiaTheme="minorEastAsia" w:cstheme="minorEastAsia"/>
              </w:rPr>
            </w:pPr>
          </w:p>
        </w:tc>
        <w:tc>
          <w:tcPr>
            <w:tcW w:w="1701" w:type="dxa"/>
            <w:tcBorders>
              <w:top w:val="nil"/>
              <w:left w:val="nil"/>
              <w:bottom w:val="nil"/>
              <w:right w:val="nil"/>
            </w:tcBorders>
            <w:shd w:val="clear" w:color="auto" w:fill="auto"/>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邮政编码：</w:t>
            </w:r>
          </w:p>
        </w:tc>
        <w:tc>
          <w:tcPr>
            <w:tcW w:w="2777" w:type="dxa"/>
            <w:tcBorders>
              <w:top w:val="nil"/>
              <w:left w:val="nil"/>
              <w:bottom w:val="nil"/>
              <w:right w:val="nil"/>
            </w:tcBorders>
          </w:tcPr>
          <w:p>
            <w:pPr>
              <w:widowControl/>
              <w:spacing w:line="360" w:lineRule="auto"/>
              <w:jc w:val="left"/>
              <w:rPr>
                <w:rFonts w:asciiTheme="minorEastAsia" w:hAnsiTheme="minorEastAsia" w:eastAsiaTheme="minorEastAsia" w:cstheme="minorEastAsia"/>
              </w:rPr>
            </w:pPr>
          </w:p>
        </w:tc>
      </w:tr>
      <w:tr>
        <w:tblPrEx>
          <w:tblCellMar>
            <w:top w:w="0" w:type="dxa"/>
            <w:left w:w="108" w:type="dxa"/>
            <w:bottom w:w="0" w:type="dxa"/>
            <w:right w:w="108" w:type="dxa"/>
          </w:tblCellMar>
        </w:tblPrEx>
        <w:trPr>
          <w:trHeight w:val="624" w:hRule="atLeast"/>
        </w:trPr>
        <w:tc>
          <w:tcPr>
            <w:tcW w:w="1560" w:type="dxa"/>
            <w:tcBorders>
              <w:top w:val="nil"/>
              <w:left w:val="nil"/>
              <w:bottom w:val="nil"/>
              <w:right w:val="nil"/>
            </w:tcBorders>
            <w:shd w:val="clear" w:color="auto" w:fill="auto"/>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联系电话：                        </w:t>
            </w:r>
          </w:p>
        </w:tc>
        <w:tc>
          <w:tcPr>
            <w:tcW w:w="2268" w:type="dxa"/>
            <w:tcBorders>
              <w:top w:val="nil"/>
              <w:left w:val="nil"/>
              <w:bottom w:val="nil"/>
              <w:right w:val="nil"/>
            </w:tcBorders>
            <w:shd w:val="clear" w:color="auto" w:fill="auto"/>
            <w:vAlign w:val="center"/>
          </w:tcPr>
          <w:p>
            <w:pPr>
              <w:widowControl/>
              <w:spacing w:line="360" w:lineRule="auto"/>
              <w:rPr>
                <w:rFonts w:asciiTheme="minorEastAsia" w:hAnsiTheme="minorEastAsia" w:eastAsiaTheme="minorEastAsia" w:cstheme="minorEastAsia"/>
              </w:rPr>
            </w:pPr>
          </w:p>
        </w:tc>
        <w:tc>
          <w:tcPr>
            <w:tcW w:w="1701" w:type="dxa"/>
            <w:tcBorders>
              <w:top w:val="nil"/>
              <w:left w:val="nil"/>
              <w:bottom w:val="nil"/>
              <w:right w:val="nil"/>
            </w:tcBorders>
            <w:shd w:val="clear" w:color="auto" w:fill="auto"/>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联系电话：</w:t>
            </w:r>
          </w:p>
        </w:tc>
        <w:tc>
          <w:tcPr>
            <w:tcW w:w="2777" w:type="dxa"/>
            <w:tcBorders>
              <w:top w:val="nil"/>
              <w:left w:val="nil"/>
              <w:bottom w:val="nil"/>
              <w:right w:val="nil"/>
            </w:tcBorders>
          </w:tcPr>
          <w:p>
            <w:pPr>
              <w:widowControl/>
              <w:spacing w:line="360" w:lineRule="auto"/>
              <w:jc w:val="left"/>
              <w:rPr>
                <w:rFonts w:asciiTheme="minorEastAsia" w:hAnsiTheme="minorEastAsia" w:eastAsiaTheme="minorEastAsia" w:cstheme="minorEastAsia"/>
              </w:rPr>
            </w:pPr>
          </w:p>
        </w:tc>
      </w:tr>
      <w:tr>
        <w:tblPrEx>
          <w:tblCellMar>
            <w:top w:w="0" w:type="dxa"/>
            <w:left w:w="108" w:type="dxa"/>
            <w:bottom w:w="0" w:type="dxa"/>
            <w:right w:w="108" w:type="dxa"/>
          </w:tblCellMar>
        </w:tblPrEx>
        <w:trPr>
          <w:trHeight w:val="624" w:hRule="atLeast"/>
        </w:trPr>
        <w:tc>
          <w:tcPr>
            <w:tcW w:w="1560" w:type="dxa"/>
            <w:tcBorders>
              <w:top w:val="nil"/>
              <w:left w:val="nil"/>
              <w:bottom w:val="nil"/>
              <w:right w:val="nil"/>
            </w:tcBorders>
            <w:shd w:val="clear" w:color="auto" w:fill="auto"/>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开户银行：                        </w:t>
            </w:r>
          </w:p>
        </w:tc>
        <w:tc>
          <w:tcPr>
            <w:tcW w:w="2268" w:type="dxa"/>
            <w:tcBorders>
              <w:top w:val="nil"/>
              <w:left w:val="nil"/>
              <w:bottom w:val="nil"/>
              <w:right w:val="nil"/>
            </w:tcBorders>
            <w:shd w:val="clear" w:color="auto" w:fill="auto"/>
            <w:vAlign w:val="center"/>
          </w:tcPr>
          <w:p>
            <w:pPr>
              <w:widowControl/>
              <w:spacing w:line="360" w:lineRule="auto"/>
              <w:rPr>
                <w:rFonts w:asciiTheme="minorEastAsia" w:hAnsiTheme="minorEastAsia" w:eastAsiaTheme="minorEastAsia" w:cstheme="minorEastAsia"/>
              </w:rPr>
            </w:pPr>
          </w:p>
        </w:tc>
        <w:tc>
          <w:tcPr>
            <w:tcW w:w="1701" w:type="dxa"/>
            <w:tcBorders>
              <w:top w:val="nil"/>
              <w:left w:val="nil"/>
              <w:bottom w:val="nil"/>
              <w:right w:val="nil"/>
            </w:tcBorders>
            <w:shd w:val="clear" w:color="auto" w:fill="auto"/>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开户银行： </w:t>
            </w:r>
          </w:p>
        </w:tc>
        <w:tc>
          <w:tcPr>
            <w:tcW w:w="2777" w:type="dxa"/>
            <w:tcBorders>
              <w:top w:val="nil"/>
              <w:left w:val="nil"/>
              <w:bottom w:val="nil"/>
              <w:right w:val="nil"/>
            </w:tcBorders>
          </w:tcPr>
          <w:p>
            <w:pPr>
              <w:widowControl/>
              <w:spacing w:line="360" w:lineRule="auto"/>
              <w:jc w:val="left"/>
              <w:rPr>
                <w:rFonts w:asciiTheme="minorEastAsia" w:hAnsiTheme="minorEastAsia" w:eastAsiaTheme="minorEastAsia" w:cstheme="minorEastAsia"/>
              </w:rPr>
            </w:pPr>
          </w:p>
        </w:tc>
      </w:tr>
      <w:tr>
        <w:tblPrEx>
          <w:tblCellMar>
            <w:top w:w="0" w:type="dxa"/>
            <w:left w:w="108" w:type="dxa"/>
            <w:bottom w:w="0" w:type="dxa"/>
            <w:right w:w="108" w:type="dxa"/>
          </w:tblCellMar>
        </w:tblPrEx>
        <w:trPr>
          <w:trHeight w:val="624" w:hRule="atLeast"/>
        </w:trPr>
        <w:tc>
          <w:tcPr>
            <w:tcW w:w="1560" w:type="dxa"/>
            <w:tcBorders>
              <w:top w:val="nil"/>
              <w:left w:val="nil"/>
              <w:bottom w:val="nil"/>
              <w:right w:val="nil"/>
            </w:tcBorders>
            <w:shd w:val="clear" w:color="auto" w:fill="auto"/>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帐    号：                        </w:t>
            </w:r>
          </w:p>
        </w:tc>
        <w:tc>
          <w:tcPr>
            <w:tcW w:w="2268" w:type="dxa"/>
            <w:tcBorders>
              <w:top w:val="nil"/>
              <w:left w:val="nil"/>
              <w:bottom w:val="nil"/>
              <w:right w:val="nil"/>
            </w:tcBorders>
            <w:shd w:val="clear" w:color="auto" w:fill="auto"/>
            <w:vAlign w:val="center"/>
          </w:tcPr>
          <w:p>
            <w:pPr>
              <w:widowControl/>
              <w:spacing w:line="360" w:lineRule="auto"/>
              <w:rPr>
                <w:rFonts w:asciiTheme="minorEastAsia" w:hAnsiTheme="minorEastAsia" w:eastAsiaTheme="minorEastAsia" w:cstheme="minorEastAsia"/>
              </w:rPr>
            </w:pPr>
          </w:p>
        </w:tc>
        <w:tc>
          <w:tcPr>
            <w:tcW w:w="1701" w:type="dxa"/>
            <w:tcBorders>
              <w:top w:val="nil"/>
              <w:left w:val="nil"/>
              <w:bottom w:val="nil"/>
              <w:right w:val="nil"/>
            </w:tcBorders>
            <w:shd w:val="clear" w:color="auto" w:fill="auto"/>
          </w:tcPr>
          <w:p>
            <w:pPr>
              <w:widowControl/>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rPr>
              <w:t>帐    号：</w:t>
            </w:r>
          </w:p>
        </w:tc>
        <w:tc>
          <w:tcPr>
            <w:tcW w:w="2777" w:type="dxa"/>
            <w:tcBorders>
              <w:top w:val="nil"/>
              <w:left w:val="nil"/>
              <w:bottom w:val="nil"/>
              <w:right w:val="nil"/>
            </w:tcBorders>
          </w:tcPr>
          <w:p>
            <w:pPr>
              <w:widowControl/>
              <w:jc w:val="left"/>
              <w:rPr>
                <w:rFonts w:asciiTheme="minorEastAsia" w:hAnsiTheme="minorEastAsia" w:eastAsiaTheme="minorEastAsia" w:cstheme="minorEastAsia"/>
                <w:szCs w:val="21"/>
              </w:rPr>
            </w:pPr>
          </w:p>
        </w:tc>
      </w:tr>
    </w:tbl>
    <w:p>
      <w:pPr>
        <w:spacing w:line="420" w:lineRule="exact"/>
        <w:rPr>
          <w:rFonts w:ascii="Times New Roman" w:hAnsi="Times New Roman"/>
        </w:rPr>
        <w:sectPr>
          <w:headerReference r:id="rId6" w:type="default"/>
          <w:footerReference r:id="rId7" w:type="even"/>
          <w:pgSz w:w="11906" w:h="16838"/>
          <w:pgMar w:top="1440" w:right="1800" w:bottom="1440" w:left="1800" w:header="851" w:footer="992" w:gutter="0"/>
          <w:cols w:space="720" w:num="1"/>
          <w:docGrid w:type="lines" w:linePitch="312" w:charSpace="0"/>
        </w:sectPr>
      </w:pPr>
    </w:p>
    <w:p>
      <w:pPr>
        <w:keepNext/>
        <w:keepLines/>
        <w:ind w:left="-4" w:leftChars="-2" w:firstLine="3" w:firstLineChars="1"/>
        <w:jc w:val="center"/>
        <w:outlineLvl w:val="0"/>
        <w:rPr>
          <w:rFonts w:ascii="华文中宋" w:hAnsi="华文中宋" w:eastAsia="华文中宋" w:cs="宋体"/>
          <w:b/>
          <w:bCs/>
          <w:kern w:val="0"/>
          <w:sz w:val="28"/>
          <w:szCs w:val="28"/>
        </w:rPr>
      </w:pPr>
      <w:r>
        <w:rPr>
          <w:rFonts w:ascii="华文中宋" w:hAnsi="华文中宋" w:eastAsia="华文中宋" w:cs="宋体"/>
          <w:b/>
          <w:bCs/>
          <w:kern w:val="0"/>
          <w:sz w:val="28"/>
          <w:szCs w:val="28"/>
        </w:rPr>
        <w:t>第</w:t>
      </w:r>
      <w:r>
        <w:rPr>
          <w:rFonts w:hint="eastAsia" w:ascii="华文中宋" w:hAnsi="华文中宋" w:eastAsia="华文中宋" w:cs="宋体"/>
          <w:b/>
          <w:bCs/>
          <w:kern w:val="0"/>
          <w:sz w:val="28"/>
          <w:szCs w:val="28"/>
        </w:rPr>
        <w:t>二</w:t>
      </w:r>
      <w:r>
        <w:rPr>
          <w:rFonts w:ascii="华文中宋" w:hAnsi="华文中宋" w:eastAsia="华文中宋" w:cs="宋体"/>
          <w:b/>
          <w:bCs/>
          <w:kern w:val="0"/>
          <w:sz w:val="28"/>
          <w:szCs w:val="28"/>
        </w:rPr>
        <w:t>部分  通用条款</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一、词语定义和适用法律</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l、词语定义</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下列词语除本合同专用条款另有约定外，应具有本条款所赋予的定义:</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1.1招标代理合同：委托人将项目招标工作委托给具有相应招标代理资质的受托人，实施招标活动签订的委托合同.</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1.2通用条款：是根据有关法律、行政法规和项目招标代理的需要所订立，通用于各类项目招标代理的条款。</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1.3专用条款：是委托人与受托人根据有关法律、行政法规规定，结合具体项目招标代理的实际，经协商达成一致意见的条款，是对通用条款的具体化、补充或修改。</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1.4委托人：指在合同中约定的，具有项目招标委托主体资格的当事人，以及取得该当事人资格的合法继承人。</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1.5受托人：指在合同中约定的，被委托人接受的具有项目招标代理主体资格的当事人，以及取得该当事人资格的合法继承人。</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1.6招标代理项目负责人：指受托人在专用条款中指定的负责合同履行的代表。</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1.7工程建设项目：指由委托人和受托人在合同中约定的委托代理招标的工程。</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1.8招标代理业务：委托人委托受托人代理实施项目招标的工作内容。</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1.9附加服务：指委托人和受托人在本合同通用条款4.1款和专用条款4.1款中双方约定工作范围之外的附加工作。</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1.10代理报酬：委托人和受托人在合同中约定的，受托人按照约定应收取的代理报酬总额。</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1.11图纸：指由委托人提供的满足招标需要的所有图纸、计算书、配套说明以及相关的技术资料。</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1.12书面形式：指具有公章、法定代表人或授权代理人签字的合同书、信件和数据电文(包括电报、电传、传真）等可以有形地表现所载内容的形式。</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1.13违约责任：指合同一方不履行合同义务或履行合同义务不符合约定所应承担的责任。</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1.14索赔：指在合同履行过程中，对于并非自己的过错，而是应由对方承担责任的情况造成的实际损失，向对方提出经济补偿或其他的要求。</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1.15不可抗力：指双方无法控制和不可预见的事件，但不包括双方的违约或疏忽。这些事件包括但不限于战争、严重火灾、洪水、台风、地震，或其他双方一致认为属于不可抗力的事件。</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2、合同文件及解释顺序</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2.1合同文件应能互相解释，互为说明。除本合同专用条款另有约定外，组成本合同的文件及优先解释顺序如下：</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2.1.1本合同履行过程中双方以书面形式签署的补充和修正文件；</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2.1.2本合同协议书：</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2.1.3本合同专用条款；</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2.1.4本合同通用条款。</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2.2当合同文件内容出现含糊不清或不相一致时，应在不影响招标代理业务正常进行的情况下，由委托人和受托人协商解决。双方协商不成时，按本合同通用条款第12条关于争议的约定处理。</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3、语言文字和适用法律</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3.1语言文字</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除本合同专用条款中另有约定，本合同文件使用汉语语言文字书写、解释和说明。如本合同专用条款约定使用两种以上(含两种）语言文字时，汉语应为解释和说明本合同的标准语言文字。</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3.2适用法律和行政法规</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本合同文件适用有关法律和行政法规。需要明示的法律和行政法规，双方可在本合同专用条款中约定。</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二、双方一般权利和义务</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4、委托人的义务</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4.1委托人将委托招标代理工作的具体范围和内容在本合同专用条款中约定。</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4.2委托人按本合同专用条款约定的内容和时间完成下列工作：</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4.2.1向受托人提供本项目招标代理业务应具备的相关前期资料(如立项批准手续规划许可、报建证等）及资金落实情况资料；</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4.2.2向受托人提供完成本项目招标代理业务所需的全部技术资料和图纸，需要交底的须向受托人详细交底，并对提供资料的真实性、完整性、准确性负责；</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4.2.3向受托人提供保证招标工作顺利完成的条件，提供的条件在本合同专用条款内约定；</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4.2.4指定专人与受托人联系，指定人员的姓名、职务、职称在本合同专用条款内约定；</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4.2.5根据需要，作好与第三方的协调工作；</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4.2.6按本合同专用条款的约定支付代理报酬；</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4.2.7依法应尽的其他义务，双方在本合同专用条款内约定。</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4.3受托人在履行招标代理业务过程中，提出的超出招标代理范围的合理化建议，经委托人同意并取得经济效益，委托人应向受托人支付一定的经济奖励。</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4.4委托人未能履行以上各项义务，给受托人造成损失的，应当赔偿受托人的有关损失。</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5、受托人的义务</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5.1受托人应根据本合同专用条款中约定的委托招标代理业务的工作范围和内容，选择有足够经验的专职技术经济人员担任招标代理项目负责人。招标代理项目负责人的姓名、身份证号在专用条款内写明。</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5.2受托人按本合同专用条款约定的内容和时间完成下列工作：</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5.2.1依法按照公开、公平、公正和诚实信用原则，组织招标工作，维护各方的合法权益；</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5.2.2应用专业技术与技能为委托人提供完成招标工作相关的咨询服务；</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5.2.3向委托人宣传有关招标的法律、行政法规和规章，解释合理的招标程序，以便得到委托人的支持和配合；</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5.2.4依法应尽的其他义务，双方在本合同专用条款内约定。</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5.3受托人应对招标工作中受托人所出具有关数据的计算、技术经济资料等的科学性和准确性负责。</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5.4受托人不得接受与本合同项目中委托招标范围之内的相关的咨询业务。</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5.5受托人为本合同提供技术服务的知识产权应属受托人专有。任何第三方如果提出侵权指控，受托人须与第三方交涉并承担由此而引起的一切法律责任和费用。</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5.6未经委托人同意，受托人不得分包或转让本合同的任何权利和义务。</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5.7受托人不得接受所有供应商的礼品、宴请和任何其它好处，不得泄露招标、评标、定标过程中依法需要保密的内容。合同终止后，未经委托人同意，受托人不得泄漏与本合同相关的任何招标资料和情况。</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5.8受托人未能履行以上各项义务，给委托人造成损失的，应当赔偿委托人的有关损失（包括但不限于因纠纷产生的诉讼费/仲裁费、律师费、公证保全费、向第三方支付的违约金/赔偿金、差旅费等一切费用）。    </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6、委托人的权利</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6.1委托人拥有下列权利：</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6.1.1按合同约定，接收招标代理成果； </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6.1.2向受托人询问本合同项目招标工作进展情况和相关内容或提出不违反法律、行政法规的建议；</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6.1.3审查受托人为本合同项目编制的各种文件，并提出修正意见；</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6.1.4要求受托人提交招标代理业务工作报告；</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6.1.5与受托人协商，建议更换其不称职的招标代理从业人员；</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6.1.6依法选择中标人；</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6.1.7本合同履行期间，由于受托人不履行合同约定的内容，给委托人造成损失或影响招标工作正常进行的，委托人有权终止本合同，并依法向受托人追索经济赔偿，直至追究法律责任；</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6.1.8依法享有的其他权利，双方在本合同专用条款内约定。</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7、受托人的权利</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7.1受托人拥有下列权利：</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7.1.1按合同约定收取委托代理报酬；</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7.1.2对招标过程中应由委托人做出的决定，受托人有权提出建议；</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7.1.3当委托人提供的资料不足或不明确时，有权要求委托人补足材料或作出明确的答复；</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7.1.4拒绝委托人提出的违反法律、行政法规的要求，并向委托作出解释；</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7.1.5有权参加委托人组织的涉及招标工作的所有会议和活动；</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7.1.6对于为本合同项目编制的所有文件拥有知识产权，委托人有使用或复制的权利；</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7.1.7依法享有的其他权利，双方在本合同专用条款内约定。</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三、委托代理报酬与收取</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8、委托代理报酬</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8.1双方按照本合同约定的招标代理业务范围，在本合同专用条款内约定委托代理报酬的计算方法、金额、币种、汇率和支付方式、时间。</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8.2在招标代理业务范围内所发生的费用（如：评标会务费，评标专家的劳务费、差旅费，公证费等），由受托人承担，不再另行约定。</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9、委托代理报酬的收取</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9.1由委托人支付代理报酬的，具体额度(或比例）双方在专用条款内约定。</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9.2受托人完成委托人委托的招标代理工作范围以外的工作，为附加服务项目，应收取的报酬由双方协商，签订补充协议。</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9.3委托代理报酬应由受托人按照约定直接向中标人收取。</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四、违约、索赔和争议</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10、违约</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10.1委托人违约。当发生下列情况时：</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10.1.1本合同通用条款第4</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2 .3款提到的委托人未按本合同专用条款的约定向委托人提供为保证招标工作顺利完成的条件，致使招标工作无法进行；</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10.1.2本合同通用条款第4</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2.6款提到的委托人未按本合同专用条款的约定向受托人支付委托代理报酬；</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10.1.3委托人不履行合同义务或不按合同约定履行义务的其他情况。</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委托人承担违约责任，赔偿因其违约给受托人造成的经济损失，双方在本合同专用条款内约定委托人赔偿受托人损失的计算方法或委托人应当支付违约金的数额或计算方法。</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10.2受托人违约。当发生下列情况时：</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10.2.1本合同通用条款第5</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2 .2款提到的受托人未按本合同专用条款的约定向委托人提供为完成招标工作的任一服务；</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10.2.2本合同通用条款第5.4款提到的受托人未遵守本合同专用条款的约定，接受了与本合同项目有关的投标咨询业务；</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10.2.3本合同通用条款第5.7款提到的受托人未遵守本合同专用条款的约定，泄露了与本合同项目相关的任何招标资料和情况；</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10.2.4受托人不履行合同义务或不按合同约定履行义务的其他情况。</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受托人承担违约责任，赔偿因其违约给委托人造成的经济损失，双方在本合同专用条款内约定受托人赔偿委托人损失的计算方法或受托人应当支付违约金的数额或计算方法。</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10.3第三方违约。如果一方的违约被认定为是与第三方共同造成的，则应由合同双方中有违约的一方先行向另一方承担全部违约责任，再由承担违约责任的一方向第三方追索。</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11、索赔</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11.1当事人一方向另一方提出索赔时，要有正当的索赔理由，且有索赔事件发生时的有效证据。</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11.2委托人未能按合同约定履行自己的各项义务，或者发生应由委托人承担责任的其他情况，给受托人造成损失，受托人可按下列程序以书面形式向委托人索赔：</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11.2.1索赔事件发生后7天内，向委托人发出索赔报告及有关资料；</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11.2.2委托人收到受托人的索赔报告及有关资料后，于7天内给予答复，或要求受托人进一步补充索赔理由和证据；</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11.2.3委托人在收到受托人送交的索赔报告和有关资料后7天内未予答复，或未对受托人作进一步要求，视为该项索赔已经认可。</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11.3受托人未能按合同约定履行自己的各项义务，或者发生应由受托人承担责任的其他情况，给委托人造成经济损失，委托人可按11.2款约定向受托人提出索赔。</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12、争议</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12.1委托人和受托人在履行合同时发生争议，可以和解或者向有关部门或机构申请调解。当事人不愿和解、调解或者和解、调解不成的，双方可以在本合同专用条款内约定以下一种方式解决争议：</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（1）双方达成仲裁协议，向约定的仲裁委员会申请仲裁；</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（2）向有管辖权的人民法院起诉。</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五、合同变更、生效与终止</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13、合同变更或解除</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13.1本合同签订后，由于委托人原因，使得受托人不能持续履行招标代理业务时，委托人应及时通知受托人暂停招标代理业务当需要恢复招标代理业务时，应当在正式恢复前7天通知受托人。</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若暂停时间超过六个月，当需要恢复招标代理业务时，委托人应支付重新启动该招标代理工作一定的补偿费用，具体计算方法经双方协商以补充协议确定。</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13.2本合同签订后，如因法律、行政法规发生变化或由于任何后续新颁布的法律、行政法规导致服务所需的成本或时间发生改变，则本合同约定的服务报酬和服务期限由双方签订补充协议进行相应调整。</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13.3本合同当事人一方要求变更或解除合同时，除法律、行政法规另有规定外，应与对方当事人协商一致并达成书面协议。未达成书面协议的，本合同依然有效。</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13.4因解除合同使当事人一方遭受损失的，除依法可以免除责任外，应由责任方负责赔偿对方的损失，赔偿方法与金额由双方在协议书中约定。</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14、合同生效</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14.1除生效条件双方在协议书中另有约定外，本合同自双方签字盖章之日起生效。</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15、合同终止</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15.1受托人完成委托人全部委托招标代理业务，且委托人或中标人支付了全部代理报酬(含附加服务的报酬）后本合同终止。</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15.2本合同终止并不影响各方应有的权利和应承担的义务。</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15.4本合同的权利义务终止后，委托人和受托人应当遵循诚实信用原则，履行通知、协助、保密等义务。</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六、其他</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16、合同的份数</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16.1本合同正本一式肆份，委托人和受托人各执贰份。根据双方需要在本合同专用条款内约定。</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17、补充条款</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双方根据有关法律、行政法规规定，结合本合同招标实际，经协商一致后，可对本合同通用条款未涉及的内容进行补充。</w:t>
      </w:r>
    </w:p>
    <w:p>
      <w:pPr>
        <w:spacing w:line="360" w:lineRule="auto"/>
        <w:rPr>
          <w:rFonts w:ascii="Times New Roman" w:hAnsi="Times New Roman"/>
        </w:rPr>
      </w:pPr>
    </w:p>
    <w:p>
      <w:pPr>
        <w:spacing w:line="360" w:lineRule="auto"/>
        <w:ind w:firstLine="420" w:firstLineChars="200"/>
        <w:rPr>
          <w:rFonts w:ascii="Times New Roman" w:hAnsi="Times New Roman"/>
        </w:rPr>
        <w:sectPr>
          <w:pgSz w:w="11906" w:h="16838"/>
          <w:pgMar w:top="1440" w:right="1800" w:bottom="1440" w:left="1800" w:header="851" w:footer="992" w:gutter="0"/>
          <w:cols w:space="720" w:num="1"/>
          <w:docGrid w:type="lines" w:linePitch="312" w:charSpace="0"/>
        </w:sectPr>
      </w:pPr>
    </w:p>
    <w:p>
      <w:pPr>
        <w:keepNext/>
        <w:keepLines/>
        <w:ind w:left="-4" w:leftChars="-2" w:firstLine="3" w:firstLineChars="1"/>
        <w:jc w:val="center"/>
        <w:outlineLvl w:val="0"/>
        <w:rPr>
          <w:rFonts w:ascii="华文中宋" w:hAnsi="华文中宋" w:eastAsia="华文中宋" w:cs="宋体"/>
          <w:b/>
          <w:bCs/>
          <w:kern w:val="0"/>
          <w:sz w:val="28"/>
          <w:szCs w:val="28"/>
        </w:rPr>
      </w:pPr>
      <w:r>
        <w:rPr>
          <w:rFonts w:ascii="华文中宋" w:hAnsi="华文中宋" w:eastAsia="华文中宋" w:cs="宋体"/>
          <w:b/>
          <w:bCs/>
          <w:kern w:val="0"/>
          <w:sz w:val="28"/>
          <w:szCs w:val="28"/>
        </w:rPr>
        <w:t>第</w:t>
      </w:r>
      <w:r>
        <w:rPr>
          <w:rFonts w:hint="eastAsia" w:ascii="华文中宋" w:hAnsi="华文中宋" w:eastAsia="华文中宋" w:cs="宋体"/>
          <w:b/>
          <w:bCs/>
          <w:kern w:val="0"/>
          <w:sz w:val="28"/>
          <w:szCs w:val="28"/>
        </w:rPr>
        <w:t>三</w:t>
      </w:r>
      <w:r>
        <w:rPr>
          <w:rFonts w:ascii="华文中宋" w:hAnsi="华文中宋" w:eastAsia="华文中宋" w:cs="宋体"/>
          <w:b/>
          <w:bCs/>
          <w:kern w:val="0"/>
          <w:sz w:val="28"/>
          <w:szCs w:val="28"/>
        </w:rPr>
        <w:t>部分  专用条款</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一、词语定义和适用法律</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2、合同文件及解释顺序</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2.1合同文件及解释顺序</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u w:val="single"/>
        </w:rPr>
        <w:t>本合同履行过程中双方以书面形式签署的补充和修正文件、本合同协议书、本合同专用条款、本合同通用条款视为本合同的组成部分</w:t>
      </w:r>
      <w:r>
        <w:rPr>
          <w:rFonts w:hint="eastAsia" w:asciiTheme="minorEastAsia" w:hAnsiTheme="minorEastAsia" w:eastAsiaTheme="minorEastAsia" w:cstheme="minorEastAsia"/>
        </w:rPr>
        <w:t xml:space="preserve">。   </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3、语言文字和适用法律</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3.1语言文字：</w:t>
      </w:r>
      <w:r>
        <w:rPr>
          <w:rFonts w:hint="eastAsia" w:asciiTheme="minorEastAsia" w:hAnsiTheme="minorEastAsia" w:eastAsiaTheme="minorEastAsia" w:cstheme="minorEastAsia"/>
          <w:u w:val="single"/>
        </w:rPr>
        <w:t>本合同采用的文字为汉语</w:t>
      </w:r>
      <w:r>
        <w:rPr>
          <w:rFonts w:hint="eastAsia" w:asciiTheme="minorEastAsia" w:hAnsiTheme="minorEastAsia" w:eastAsiaTheme="minorEastAsia" w:cstheme="minorEastAsia"/>
        </w:rPr>
        <w:t>。</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3.2本合同需要明示的法律、行政法规：</w:t>
      </w:r>
      <w:r>
        <w:rPr>
          <w:rFonts w:hint="eastAsia" w:asciiTheme="minorEastAsia" w:hAnsiTheme="minorEastAsia" w:eastAsiaTheme="minorEastAsia" w:cstheme="minorEastAsia"/>
          <w:u w:val="single"/>
        </w:rPr>
        <w:t>执行中华人民共和国及福建省、福州市的相关法律及行政法规</w:t>
      </w:r>
      <w:r>
        <w:rPr>
          <w:rFonts w:hint="eastAsia" w:asciiTheme="minorEastAsia" w:hAnsiTheme="minorEastAsia" w:eastAsiaTheme="minorEastAsia" w:cstheme="minorEastAsia"/>
        </w:rPr>
        <w:t>。</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二、双方一般权利和义务 </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4.1</w:t>
      </w:r>
      <w:r>
        <w:rPr>
          <w:rFonts w:hint="eastAsia" w:asciiTheme="minorEastAsia" w:hAnsiTheme="minorEastAsia" w:eastAsiaTheme="minorEastAsia" w:cstheme="minorEastAsia"/>
          <w:b/>
          <w:bCs/>
        </w:rPr>
        <w:t>受托人</w:t>
      </w:r>
      <w:r>
        <w:rPr>
          <w:rFonts w:hint="eastAsia" w:asciiTheme="minorEastAsia" w:hAnsiTheme="minorEastAsia" w:eastAsiaTheme="minorEastAsia" w:cstheme="minorEastAsia"/>
        </w:rPr>
        <w:t>应完成的委托招标代理工作的具体范围和内容：</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4.1.1.须按政府采购相关法律法规的规定组织采购人所委托项目的采购工作，精心设计和组织采购工作，提供优良的服务，保证采购计划顺利实施，维护采购的社会和经济效益。</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4.1.2. 须指派1名项目经理及1名项目组长。项目经理总体负责本项目的协调与沟通，项目组长负责与采购人接洽具体项目、接收委托书、取送相关资料等日常事务性工作，不得随意变更。本项目授权代表应为该项目经理或项目组长；现场讲标和问答环节应由项目组长完成。</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项目组长在接到采购人电话通知后，与采购人相关人员就招标采购的有关具体事项进行协商；若采购人采购的设备为需要进行论证的进口产品或预算主管部门规定的前期论证产品，采购人应举行进口产品论证会或专家评审会，协助采购人完成相关论证后的审批及政府采购计划表的报批工作。</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4.1.3.应及时向采购人通报招标计划和进展，保证招标计划的顺利实施。</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4.1.4.根据采购人提供的采购项目相关资料并结合与采购人需求部门工作人员协商的结果，应保证在24小时内完成招标文件初稿的制作（紧急情况下应在12小时内完成，以上时间不含采购人需求部门工作人员因不可预知原因而致的时间延误），并送采购人审核；招标文件定稿后，将在与采购人协商确定开标时间后及时发布招标公告。</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4.1.5.从招标文件开始发售起至截标前止,应及时将项目的进展情况向采购人具体负责人员进行通报（如质疑等）。</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4.1.6.在所委托招标项目开标的前三天内，书面发出邀请函，邀请采购人派遣相关人员参加开、评标会议。</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4.1.7.负责组织开标、评标，并做好采购过程的记录。</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4.1.8.评标结束后，应在1个工作日内将成交结果确认文件送至采购人盖章确认，并根据采购人确认的成交结果，发布中标公告及做好相关中标（未中标）通知书发送工作。</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4.1.9.在接受采购人委托期间，需严格按照相关法律法规规定制作招标文件以及按规定确定评标委员会组成人员、组织开标、评标等过程。</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4.1.10.在招标活动中若发生质疑或投诉，要负责协调相关方，主动及时处理好质疑或投诉。</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4.1.11.在具体项目招标结束后，应按规定保管相关档案，必要时报政府采购监管部门备案，并向采购人送交政府采购规定或采购人需要存档的所有资料。</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4.1.12.应及时录入业务范围内政府采购监管部门要求的采购统计信息。</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4.1.13.如遇采购人需要紧急采购、内部开标的，应无偿协助编制招标文件、公告，组织开标评审，装订档案等，不得推诿。</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4.1.14.政府采购相关范本中规定的应由招标代理机构完成的其他招标代理工作以及相关的配套服务工作。</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4.1.15.承担委托项目涉及的所有费用（含评标会务费，评标专家的劳务费、差旅费，公证费等）。</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4.1.16.应按承诺折扣率收取采购代理服务费。</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4.1.17.服务期内，采购人有权对招标代理机构从事招标代理的专业性、服务质量等进行评价考核。</w:t>
      </w:r>
    </w:p>
    <w:p>
      <w:pPr>
        <w:pStyle w:val="8"/>
        <w:spacing w:line="360" w:lineRule="auto"/>
        <w:ind w:firstLine="420" w:firstLineChars="200"/>
        <w:rPr>
          <w:rFonts w:asciiTheme="minorEastAsia" w:hAnsiTheme="minorEastAsia" w:eastAsiaTheme="minorEastAsia" w:cstheme="minorEastAsia"/>
          <w:sz w:val="21"/>
          <w:shd w:val="clear" w:color="auto" w:fill="auto"/>
        </w:rPr>
      </w:pPr>
      <w:r>
        <w:rPr>
          <w:rFonts w:hint="eastAsia" w:asciiTheme="minorEastAsia" w:hAnsiTheme="minorEastAsia" w:eastAsiaTheme="minorEastAsia" w:cstheme="minorEastAsia"/>
          <w:sz w:val="21"/>
          <w:shd w:val="clear" w:color="auto" w:fill="auto"/>
        </w:rPr>
        <w:t>4.1.18.未尽事宜，协议期内友好商议。</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4.2委托人应按约定的时间和要求完成下列工作：</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4.2.1向受托人提供本项目招标代理业务应具备的相关项目前期资料及资金落实情况资料时间：</w:t>
      </w:r>
      <w:r>
        <w:rPr>
          <w:rFonts w:hint="eastAsia" w:asciiTheme="minorEastAsia" w:hAnsiTheme="minorEastAsia" w:eastAsiaTheme="minorEastAsia" w:cstheme="minorEastAsia"/>
          <w:u w:val="single"/>
        </w:rPr>
        <w:t>发布招标公告三日前；</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4.2.2向受托人提供完成代理招标业务所需的全部资料的时间：</w:t>
      </w:r>
      <w:r>
        <w:rPr>
          <w:rFonts w:hint="eastAsia" w:asciiTheme="minorEastAsia" w:hAnsiTheme="minorEastAsia" w:eastAsiaTheme="minorEastAsia" w:cstheme="minorEastAsia"/>
          <w:u w:val="single"/>
        </w:rPr>
        <w:t>开标完成后2个星期内。</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4.2.3向受托人提供保证招标工作顺利完成的条件：</w:t>
      </w:r>
      <w:r>
        <w:rPr>
          <w:rFonts w:hint="eastAsia" w:asciiTheme="minorEastAsia" w:hAnsiTheme="minorEastAsia" w:eastAsiaTheme="minorEastAsia" w:cstheme="minorEastAsia"/>
          <w:u w:val="single"/>
        </w:rPr>
        <w:t>（1）提供项目综合说明；（2）提供招标详细技术参数、技术标准及必要的图纸资料、验收标准及有关招标的其它资料；（3）提供招标内容及方式、技术服务内容及期限；（4）要求供应商向采购人提供的配合条件；（5）确定定标程序。</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4.2.4指定的与受托人联系的人员</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姓名：</w:t>
      </w:r>
      <w:r>
        <w:rPr>
          <w:rFonts w:hint="eastAsia" w:asciiTheme="minorEastAsia" w:hAnsiTheme="minorEastAsia" w:eastAsiaTheme="minorEastAsia" w:cstheme="minorEastAsia"/>
          <w:u w:val="single"/>
        </w:rPr>
        <w:t>林新颖</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   </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0591-62602687</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4.2.5需要与第三方协调的工作：</w:t>
      </w:r>
      <w:r>
        <w:rPr>
          <w:rFonts w:hint="eastAsia" w:asciiTheme="minorEastAsia" w:hAnsiTheme="minorEastAsia" w:eastAsiaTheme="minorEastAsia" w:cstheme="minorEastAsia"/>
          <w:u w:val="single"/>
        </w:rPr>
        <w:t xml:space="preserve">无约定 </w:t>
      </w:r>
      <w:r>
        <w:rPr>
          <w:rFonts w:hint="eastAsia" w:asciiTheme="minorEastAsia" w:hAnsiTheme="minorEastAsia" w:eastAsiaTheme="minorEastAsia" w:cstheme="minorEastAsia"/>
        </w:rPr>
        <w:t>。</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4.2.6应尽的其他义务：</w:t>
      </w:r>
      <w:r>
        <w:rPr>
          <w:rFonts w:hint="eastAsia" w:asciiTheme="minorEastAsia" w:hAnsiTheme="minorEastAsia" w:eastAsiaTheme="minorEastAsia" w:cstheme="minorEastAsia"/>
          <w:u w:val="single"/>
        </w:rPr>
        <w:t xml:space="preserve">无约定 </w:t>
      </w:r>
      <w:r>
        <w:rPr>
          <w:rFonts w:hint="eastAsia" w:asciiTheme="minorEastAsia" w:hAnsiTheme="minorEastAsia" w:eastAsiaTheme="minorEastAsia" w:cstheme="minorEastAsia"/>
        </w:rPr>
        <w:t>。</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5、受托人的义务</w:t>
      </w:r>
    </w:p>
    <w:p>
      <w:pPr>
        <w:spacing w:line="360" w:lineRule="auto"/>
        <w:ind w:firstLine="42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rPr>
        <w:t>5.1招标代理项目负责人姓名：</w:t>
      </w:r>
      <w:r>
        <w:rPr>
          <w:rFonts w:hint="eastAsia" w:asciiTheme="minorEastAsia" w:hAnsiTheme="minorEastAsia" w:eastAsiaTheme="minorEastAsia" w:cstheme="minorEastAsia"/>
          <w:u w:val="single"/>
          <w:lang w:val="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zh-CN"/>
        </w:rPr>
        <w:t xml:space="preserve"> </w:t>
      </w:r>
      <w:r>
        <w:rPr>
          <w:rFonts w:hint="eastAsia" w:asciiTheme="minorEastAsia" w:hAnsiTheme="minorEastAsia" w:eastAsiaTheme="minorEastAsia" w:cstheme="minorEastAsia"/>
          <w:lang w:val="zh-CN"/>
        </w:rPr>
        <w:t xml:space="preserve"> 身份证号：</w:t>
      </w:r>
      <w:r>
        <w:rPr>
          <w:rFonts w:hint="eastAsia" w:asciiTheme="minorEastAsia" w:hAnsiTheme="minorEastAsia" w:eastAsiaTheme="minorEastAsia" w:cstheme="minorEastAsia"/>
          <w:u w:val="single"/>
          <w:lang w:val="zh-CN"/>
        </w:rPr>
        <w:t xml:space="preserve">               .  </w:t>
      </w:r>
      <w:r>
        <w:rPr>
          <w:rFonts w:hint="eastAsia" w:asciiTheme="minorEastAsia" w:hAnsiTheme="minorEastAsia" w:eastAsiaTheme="minorEastAsia" w:cstheme="minorEastAsia"/>
          <w:lang w:val="zh-CN"/>
        </w:rPr>
        <w:t>业务邮箱：</w:t>
      </w:r>
      <w:r>
        <w:rPr>
          <w:rFonts w:hint="eastAsia" w:asciiTheme="minorEastAsia" w:hAnsiTheme="minorEastAsia" w:eastAsiaTheme="minorEastAsia" w:cstheme="minorEastAsia"/>
          <w:u w:val="single"/>
          <w:lang w:val="zh-CN"/>
        </w:rPr>
        <w:t xml:space="preserve">   @</w:t>
      </w:r>
      <w:r>
        <w:rPr>
          <w:rFonts w:hint="eastAsia" w:asciiTheme="minorEastAsia" w:hAnsiTheme="minorEastAsia" w:eastAsiaTheme="minorEastAsia" w:cstheme="minorEastAsia"/>
          <w:lang w:val="zh-CN"/>
        </w:rPr>
        <w:t xml:space="preserve">  </w:t>
      </w:r>
      <w:r>
        <w:rPr>
          <w:rFonts w:hint="eastAsia" w:asciiTheme="minorEastAsia" w:hAnsiTheme="minorEastAsia" w:eastAsiaTheme="minorEastAsia" w:cstheme="minorEastAsia"/>
          <w:u w:val="single"/>
          <w:lang w:val="zh-CN"/>
        </w:rPr>
        <w:t xml:space="preserve">  </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5.2受托人应按约定的时间和要求完成下列工作：</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5.2.1组织招标工作的内容，包括但不限于：</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5.2.1.1</w:t>
      </w:r>
      <w:r>
        <w:rPr>
          <w:rFonts w:hint="eastAsia" w:asciiTheme="minorEastAsia" w:hAnsiTheme="minorEastAsia" w:eastAsiaTheme="minorEastAsia" w:cstheme="minorEastAsia"/>
          <w:u w:val="single"/>
        </w:rPr>
        <w:t>确认接受代理业务，按时签订代理协议，制订工作计划；</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5.2.1.2</w:t>
      </w:r>
      <w:r>
        <w:rPr>
          <w:rFonts w:hint="eastAsia" w:asciiTheme="minorEastAsia" w:hAnsiTheme="minorEastAsia" w:eastAsiaTheme="minorEastAsia" w:cstheme="minorEastAsia"/>
          <w:u w:val="single"/>
        </w:rPr>
        <w:t>审核、确定采购需求，确保采购需求完整、明确，确保政府采购项目的资格条件、技术、服务、安全等要求符合政府采购法律法规、规范性文件的要求，非政府采购项目符合学院的规章制度要求；</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5.2.1.3</w:t>
      </w:r>
      <w:r>
        <w:rPr>
          <w:rFonts w:hint="eastAsia" w:asciiTheme="minorEastAsia" w:hAnsiTheme="minorEastAsia" w:eastAsiaTheme="minorEastAsia" w:cstheme="minorEastAsia"/>
          <w:u w:val="single"/>
        </w:rPr>
        <w:t>编制采购文件（24小时内完成招标文件初稿），发布采购公告，发售采购文件，组织澄清、答疑，发布澄清、变更文件；</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5.2.1.4</w:t>
      </w:r>
      <w:r>
        <w:rPr>
          <w:rFonts w:hint="eastAsia" w:asciiTheme="minorEastAsia" w:hAnsiTheme="minorEastAsia" w:eastAsiaTheme="minorEastAsia" w:cstheme="minorEastAsia"/>
          <w:u w:val="single"/>
        </w:rPr>
        <w:t>代理机构编制的采购文件，需发送至学院招采部指定邮箱（po@tjufz.org.cn）审核，按照过程审核意见修改后，形成采购文件终稿，终稿需再次发送至指定邮箱（po@tjufz.org.cn）存档备查；</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5.2.1.5</w:t>
      </w:r>
      <w:r>
        <w:rPr>
          <w:rFonts w:hint="eastAsia" w:asciiTheme="minorEastAsia" w:hAnsiTheme="minorEastAsia" w:eastAsiaTheme="minorEastAsia" w:cstheme="minorEastAsia"/>
          <w:u w:val="single"/>
        </w:rPr>
        <w:t>组织开标、评标，形成评审报告；</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5.2.1.6</w:t>
      </w:r>
      <w:r>
        <w:rPr>
          <w:rFonts w:hint="eastAsia" w:asciiTheme="minorEastAsia" w:hAnsiTheme="minorEastAsia" w:eastAsiaTheme="minorEastAsia" w:cstheme="minorEastAsia"/>
          <w:u w:val="single"/>
        </w:rPr>
        <w:t>备案评审结果和发出中标通知书，同时在法定媒体发布评审结果公示或公告、退还投标保证金，协助签订采购合同；</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5.2.1.7</w:t>
      </w:r>
      <w:r>
        <w:rPr>
          <w:rFonts w:hint="eastAsia" w:asciiTheme="minorEastAsia" w:hAnsiTheme="minorEastAsia" w:eastAsiaTheme="minorEastAsia" w:cstheme="minorEastAsia"/>
          <w:u w:val="single"/>
        </w:rPr>
        <w:t>需要变更采购方式时，配合组织、提供相关材料；</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5.2.1.8</w:t>
      </w:r>
      <w:r>
        <w:rPr>
          <w:rFonts w:hint="eastAsia" w:asciiTheme="minorEastAsia" w:hAnsiTheme="minorEastAsia" w:eastAsiaTheme="minorEastAsia" w:cstheme="minorEastAsia"/>
          <w:u w:val="single"/>
        </w:rPr>
        <w:t>负责质疑和投诉处理；</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5.2.1.9</w:t>
      </w:r>
      <w:r>
        <w:rPr>
          <w:rFonts w:hint="eastAsia" w:asciiTheme="minorEastAsia" w:hAnsiTheme="minorEastAsia" w:eastAsiaTheme="minorEastAsia" w:cstheme="minorEastAsia"/>
          <w:u w:val="single"/>
        </w:rPr>
        <w:t>妥善保存采购文件，汇总、整理采购的全过程资料并提交招采部存档；</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5.2.1.10</w:t>
      </w:r>
      <w:r>
        <w:rPr>
          <w:rFonts w:hint="eastAsia" w:asciiTheme="minorEastAsia" w:hAnsiTheme="minorEastAsia" w:eastAsiaTheme="minorEastAsia" w:cstheme="minorEastAsia"/>
          <w:u w:val="single"/>
        </w:rPr>
        <w:t>完成与学院约定的其他事项。</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5.2.2为采购人提供的为完成招标工作的相关咨询服务：</w:t>
      </w:r>
      <w:r>
        <w:rPr>
          <w:rFonts w:hint="eastAsia" w:asciiTheme="minorEastAsia" w:hAnsiTheme="minorEastAsia" w:eastAsiaTheme="minorEastAsia" w:cstheme="minorEastAsia"/>
          <w:u w:val="single"/>
        </w:rPr>
        <w:t>无约定</w:t>
      </w:r>
      <w:r>
        <w:rPr>
          <w:rFonts w:hint="eastAsia" w:asciiTheme="minorEastAsia" w:hAnsiTheme="minorEastAsia" w:eastAsiaTheme="minorEastAsia" w:cstheme="minorEastAsia"/>
        </w:rPr>
        <w:t>；</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5.2.3应尽的其他义务：</w:t>
      </w:r>
      <w:r>
        <w:rPr>
          <w:rFonts w:hint="eastAsia" w:asciiTheme="minorEastAsia" w:hAnsiTheme="minorEastAsia" w:eastAsiaTheme="minorEastAsia" w:cstheme="minorEastAsia"/>
          <w:u w:val="single"/>
        </w:rPr>
        <w:t>按合同约定</w:t>
      </w:r>
      <w:r>
        <w:rPr>
          <w:rFonts w:hint="eastAsia" w:asciiTheme="minorEastAsia" w:hAnsiTheme="minorEastAsia" w:eastAsiaTheme="minorEastAsia" w:cstheme="minorEastAsia"/>
        </w:rPr>
        <w:t>；</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6、委托人的权利</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6.1委托人拥有的权利：</w:t>
      </w:r>
      <w:r>
        <w:rPr>
          <w:rFonts w:hint="eastAsia" w:asciiTheme="minorEastAsia" w:hAnsiTheme="minorEastAsia" w:eastAsiaTheme="minorEastAsia" w:cstheme="minorEastAsia"/>
          <w:u w:val="single"/>
        </w:rPr>
        <w:t>（1）接受招标代理成果；（2）向受托人询问本合同项目招标工作进展情况和相关内容或提出不违反法律、行政法规的建议；（3）审查受托人为本合同项目编制的各种文件，并提出修正意见；（4）要求受托人提交招标代理业务工作报告；（5）与受托人协商，建议更换其不称职的招标代理从业人员；（6）依法选择中标人；（7）本合同履行期间，由于受托人不履行合同约定的内容，给委托人造成损失或影响招标工作正常进行的，委托人有权终止本合同，并依法向受托人追索经济赔偿，直至追究法律责任。</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6.2委托人拥有的其他权利：</w:t>
      </w:r>
      <w:r>
        <w:rPr>
          <w:rFonts w:hint="eastAsia" w:asciiTheme="minorEastAsia" w:hAnsiTheme="minorEastAsia" w:eastAsiaTheme="minorEastAsia" w:cstheme="minorEastAsia"/>
          <w:u w:val="single"/>
        </w:rPr>
        <w:t>无约定</w:t>
      </w:r>
      <w:r>
        <w:rPr>
          <w:rFonts w:hint="eastAsia" w:asciiTheme="minorEastAsia" w:hAnsiTheme="minorEastAsia" w:eastAsiaTheme="minorEastAsia" w:cstheme="minorEastAsia"/>
        </w:rPr>
        <w:t>；</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7、受托人的权利</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7.1受托人拥有的权利：</w:t>
      </w:r>
      <w:r>
        <w:rPr>
          <w:rFonts w:hint="eastAsia" w:asciiTheme="minorEastAsia" w:hAnsiTheme="minorEastAsia" w:eastAsiaTheme="minorEastAsia" w:cstheme="minorEastAsia"/>
          <w:u w:val="single"/>
        </w:rPr>
        <w:t>(1）按合同约定收取委托代理报酬；(2）对招标过程中应由委托人做出的决定，受托人有权提出建议；(3）当委托人提供的资料不足或不明确时，有权要求委托人补足材料或作出明确的答复；(4）拒绝委托人提出的违反法律、行政法规的要求，并向委托人作出解释；（5）有权参加委托人组织的涉及招标工作的所有会议和活动；(6）对于为本合同项目编制的所有文件拥有知识产权，委托人有使用或复制的权利。</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7.2受托人拥有的其他权利：</w:t>
      </w:r>
      <w:r>
        <w:rPr>
          <w:rFonts w:hint="eastAsia" w:asciiTheme="minorEastAsia" w:hAnsiTheme="minorEastAsia" w:eastAsiaTheme="minorEastAsia" w:cstheme="minorEastAsia"/>
          <w:u w:val="single"/>
        </w:rPr>
        <w:t>无约定</w:t>
      </w:r>
      <w:r>
        <w:rPr>
          <w:rFonts w:hint="eastAsia" w:asciiTheme="minorEastAsia" w:hAnsiTheme="minorEastAsia" w:eastAsiaTheme="minorEastAsia" w:cstheme="minorEastAsia"/>
        </w:rPr>
        <w:t>；</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三、委托代理报酬与收取</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8、委托代理报酬</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8.1代理报酬的计算方法：</w:t>
      </w:r>
      <w:r>
        <w:rPr>
          <w:rFonts w:hint="eastAsia" w:asciiTheme="minorEastAsia" w:hAnsiTheme="minorEastAsia" w:eastAsiaTheme="minorEastAsia" w:cstheme="minorEastAsia"/>
          <w:u w:val="single"/>
        </w:rPr>
        <w:t>参照《国家计委关于印发招标代理服务收费管理暂行办法的通知（计价格〔2002〕1980号）》《国家发展改革委办公厅关于招标代理服务收费有关问题的通知（发改办价格〔2003〕857号）》等文件的有关规定采用差额定率累进法计算的  %向中标人收取</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single"/>
        </w:rPr>
        <w:t>在招标代理业务范围内所发生的费用（如：评标会务费，评标专家的劳务费、差旅费，公证费等），由受托人承担，不再另行约定</w:t>
      </w:r>
      <w:r>
        <w:rPr>
          <w:rFonts w:hint="eastAsia" w:asciiTheme="minorEastAsia" w:hAnsiTheme="minorEastAsia" w:eastAsiaTheme="minorEastAsia" w:cstheme="minorEastAsia"/>
        </w:rPr>
        <w:t>。</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代理报酬的币种：</w:t>
      </w:r>
      <w:r>
        <w:rPr>
          <w:rFonts w:hint="eastAsia" w:asciiTheme="minorEastAsia" w:hAnsiTheme="minorEastAsia" w:eastAsiaTheme="minorEastAsia" w:cstheme="minorEastAsia"/>
          <w:u w:val="single"/>
        </w:rPr>
        <w:t xml:space="preserve"> 人民币  </w:t>
      </w:r>
      <w:r>
        <w:rPr>
          <w:rFonts w:hint="eastAsia" w:asciiTheme="minorEastAsia" w:hAnsiTheme="minorEastAsia" w:eastAsiaTheme="minorEastAsia" w:cstheme="minorEastAsia"/>
        </w:rPr>
        <w:t xml:space="preserve">      汇率：</w:t>
      </w:r>
      <w:r>
        <w:rPr>
          <w:rFonts w:hint="eastAsia" w:asciiTheme="minorEastAsia" w:hAnsiTheme="minorEastAsia" w:eastAsiaTheme="minorEastAsia" w:cstheme="minorEastAsia"/>
          <w:u w:val="single"/>
        </w:rPr>
        <w:t xml:space="preserve"> 无约定</w:t>
      </w:r>
      <w:r>
        <w:rPr>
          <w:rFonts w:hint="eastAsia" w:asciiTheme="minorEastAsia" w:hAnsiTheme="minorEastAsia" w:eastAsiaTheme="minorEastAsia" w:cstheme="minorEastAsia"/>
        </w:rPr>
        <w:t xml:space="preserve"> </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代理报酬的支付方式：</w:t>
      </w:r>
      <w:r>
        <w:rPr>
          <w:rFonts w:hint="eastAsia" w:asciiTheme="minorEastAsia" w:hAnsiTheme="minorEastAsia" w:eastAsiaTheme="minorEastAsia" w:cstheme="minorEastAsia"/>
          <w:u w:val="single"/>
        </w:rPr>
        <w:t>支票或现金</w:t>
      </w:r>
      <w:r>
        <w:rPr>
          <w:rFonts w:hint="eastAsia" w:asciiTheme="minorEastAsia" w:hAnsiTheme="minorEastAsia" w:eastAsiaTheme="minorEastAsia" w:cstheme="minorEastAsia"/>
        </w:rPr>
        <w:t>；</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代理报酬的支付时间：</w:t>
      </w:r>
      <w:r>
        <w:rPr>
          <w:rFonts w:hint="eastAsia" w:asciiTheme="minorEastAsia" w:hAnsiTheme="minorEastAsia" w:eastAsiaTheme="minorEastAsia" w:cstheme="minorEastAsia"/>
          <w:u w:val="single"/>
        </w:rPr>
        <w:t>由中标人支付代理报酬，在中标人与委托人签订采购合同后5日内，将本合同约定的全部委托代理报酬一次性支付给受托人</w:t>
      </w:r>
      <w:r>
        <w:rPr>
          <w:rFonts w:hint="eastAsia" w:asciiTheme="minorEastAsia" w:hAnsiTheme="minorEastAsia" w:eastAsiaTheme="minorEastAsia" w:cstheme="minorEastAsia"/>
        </w:rPr>
        <w:t>。</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9、委托代理报酬的收取</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9.1预付委托代理费用额度(比例）：</w:t>
      </w:r>
      <w:r>
        <w:rPr>
          <w:rFonts w:hint="eastAsia" w:asciiTheme="minorEastAsia" w:hAnsiTheme="minorEastAsia" w:eastAsiaTheme="minorEastAsia" w:cstheme="minorEastAsia"/>
          <w:u w:val="single"/>
        </w:rPr>
        <w:t>无约定</w:t>
      </w:r>
      <w:r>
        <w:rPr>
          <w:rFonts w:hint="eastAsia" w:asciiTheme="minorEastAsia" w:hAnsiTheme="minorEastAsia" w:eastAsiaTheme="minorEastAsia" w:cstheme="minorEastAsia"/>
        </w:rPr>
        <w:t>；</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9.2 逾期支付时，应收取的利息：</w:t>
      </w:r>
      <w:r>
        <w:rPr>
          <w:rFonts w:hint="eastAsia" w:asciiTheme="minorEastAsia" w:hAnsiTheme="minorEastAsia" w:eastAsiaTheme="minorEastAsia" w:cstheme="minorEastAsia"/>
          <w:u w:val="single"/>
        </w:rPr>
        <w:t>委托人无需支付逾期付款利息</w:t>
      </w:r>
      <w:r>
        <w:rPr>
          <w:rFonts w:hint="eastAsia" w:asciiTheme="minorEastAsia" w:hAnsiTheme="minorEastAsia" w:eastAsiaTheme="minorEastAsia" w:cstheme="minorEastAsia"/>
        </w:rPr>
        <w:t>；</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四、违约、索赔和争议</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10、违约</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10.1本合同关于委托人违约的具体责任：</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10.1.1委托人未按照本合同通用条款第4.2.3款的约定，向受托人提供保证招标工作顺利完成的条件应承担的违约责任：</w:t>
      </w:r>
      <w:r>
        <w:rPr>
          <w:rFonts w:hint="eastAsia" w:asciiTheme="minorEastAsia" w:hAnsiTheme="minorEastAsia" w:eastAsiaTheme="minorEastAsia" w:cstheme="minorEastAsia"/>
          <w:u w:val="single"/>
        </w:rPr>
        <w:t>委托人承担违约责任，赔偿因其违约给受托人造成的经济损失，违约金不超过单项目招标代理费的30%</w:t>
      </w:r>
      <w:r>
        <w:rPr>
          <w:rFonts w:hint="eastAsia" w:asciiTheme="minorEastAsia" w:hAnsiTheme="minorEastAsia" w:eastAsiaTheme="minorEastAsia" w:cstheme="minorEastAsia"/>
        </w:rPr>
        <w:t>。</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10.1.1委托人未按本合同通用条款第4.2.6款的约定，向受托人支付委托代理报酬应承担的违约责任：</w:t>
      </w:r>
      <w:r>
        <w:rPr>
          <w:rFonts w:hint="eastAsia" w:asciiTheme="minorEastAsia" w:hAnsiTheme="minorEastAsia" w:eastAsiaTheme="minorEastAsia" w:cstheme="minorEastAsia"/>
          <w:u w:val="single"/>
        </w:rPr>
        <w:t>委托人承担违约责任，赔偿因其违约给受托人造成的经济损失，违约金不超过单项目招标代理费的30%</w:t>
      </w:r>
      <w:r>
        <w:rPr>
          <w:rFonts w:hint="eastAsia" w:asciiTheme="minorEastAsia" w:hAnsiTheme="minorEastAsia" w:eastAsiaTheme="minorEastAsia" w:cstheme="minorEastAsia"/>
        </w:rPr>
        <w:t>。</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10.1.3双方约定的委托人的其他违约责任：无约定。</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10.2本合同关于受托人违约的具体责任：</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10.2.1受托人未按照本合同通用条款第5.2.2款的约定，向委托人提供为完成招标工作的任一服务应承担的违约责任：</w:t>
      </w:r>
      <w:r>
        <w:rPr>
          <w:rFonts w:hint="eastAsia" w:asciiTheme="minorEastAsia" w:hAnsiTheme="minorEastAsia" w:eastAsiaTheme="minorEastAsia" w:cstheme="minorEastAsia"/>
          <w:u w:val="single"/>
        </w:rPr>
        <w:t>受托人承担违约责任，赔偿因其违约给委托人造成的经济损失</w:t>
      </w:r>
      <w:r>
        <w:rPr>
          <w:rFonts w:hint="eastAsia" w:asciiTheme="minorEastAsia" w:hAnsiTheme="minorEastAsia" w:eastAsiaTheme="minorEastAsia" w:cstheme="minorEastAsia"/>
        </w:rPr>
        <w:t>（包括但不限于因纠纷产生的诉讼费/仲裁费、律师费、公证保全费、向第三方支付的违约金/赔偿金、差旅费等一切费用）</w:t>
      </w:r>
      <w:r>
        <w:rPr>
          <w:rFonts w:hint="eastAsia" w:asciiTheme="minorEastAsia" w:hAnsiTheme="minorEastAsia" w:eastAsiaTheme="minorEastAsia" w:cstheme="minorEastAsia"/>
          <w:u w:val="single"/>
        </w:rPr>
        <w:t>，违约金不超过单项目招标代理费的30%。</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10.2.2受托人违反本合同通用条款第5.4款的约定，接受了与本合同项目有关的投标咨询业务应承担的违约责任：</w:t>
      </w:r>
      <w:r>
        <w:rPr>
          <w:rFonts w:hint="eastAsia" w:asciiTheme="minorEastAsia" w:hAnsiTheme="minorEastAsia" w:eastAsiaTheme="minorEastAsia" w:cstheme="minorEastAsia"/>
          <w:u w:val="single"/>
        </w:rPr>
        <w:t>受托人承担违约责任，赔偿因其违约给委托人造成的经济损失</w:t>
      </w:r>
      <w:r>
        <w:rPr>
          <w:rFonts w:hint="eastAsia" w:asciiTheme="minorEastAsia" w:hAnsiTheme="minorEastAsia" w:eastAsiaTheme="minorEastAsia" w:cstheme="minorEastAsia"/>
        </w:rPr>
        <w:t>（包括但不限于因纠纷产生的诉讼费/仲裁费、律师费、公证保全费、向第三方支付的违约金/赔偿金、差旅费等一切费用）</w:t>
      </w:r>
      <w:r>
        <w:rPr>
          <w:rFonts w:hint="eastAsia" w:asciiTheme="minorEastAsia" w:hAnsiTheme="minorEastAsia" w:eastAsiaTheme="minorEastAsia" w:cstheme="minorEastAsia"/>
          <w:u w:val="single"/>
        </w:rPr>
        <w:t>，违约金不超过单项目招标代理费的30%。</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10.2.3受托人违反本合同通用条款第5.7款的约定，泄露了与本合同项目相关的任何不应泄露的招标资料和情况应承担的违约责任：</w:t>
      </w:r>
      <w:r>
        <w:rPr>
          <w:rFonts w:hint="eastAsia" w:asciiTheme="minorEastAsia" w:hAnsiTheme="minorEastAsia" w:eastAsiaTheme="minorEastAsia" w:cstheme="minorEastAsia"/>
          <w:u w:val="single"/>
        </w:rPr>
        <w:t>受托人承担违约责任，赔偿因其违约给委托人造成的经济损失</w:t>
      </w:r>
      <w:r>
        <w:rPr>
          <w:rFonts w:hint="eastAsia" w:asciiTheme="minorEastAsia" w:hAnsiTheme="minorEastAsia" w:eastAsiaTheme="minorEastAsia" w:cstheme="minorEastAsia"/>
        </w:rPr>
        <w:t>（包括但不限于因纠纷产生的诉讼费/仲裁费、律师费、公证保全费、向第三方支付的违约金/赔偿金、差旅费等一切费用）</w:t>
      </w:r>
      <w:r>
        <w:rPr>
          <w:rFonts w:hint="eastAsia" w:asciiTheme="minorEastAsia" w:hAnsiTheme="minorEastAsia" w:eastAsiaTheme="minorEastAsia" w:cstheme="minorEastAsia"/>
          <w:u w:val="single"/>
        </w:rPr>
        <w:t>，违约金不超过单项目招标代理费的30%。</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10.2.4双方约定的受托人的其他违约责任：受托人违反合同任一约定的，均应</w:t>
      </w:r>
      <w:r>
        <w:rPr>
          <w:rFonts w:hint="eastAsia" w:asciiTheme="minorEastAsia" w:hAnsiTheme="minorEastAsia" w:eastAsiaTheme="minorEastAsia" w:cstheme="minorEastAsia"/>
          <w:u w:val="single"/>
        </w:rPr>
        <w:t>赔偿因其违约给委托人造成的经济损失</w:t>
      </w:r>
      <w:r>
        <w:rPr>
          <w:rFonts w:hint="eastAsia" w:asciiTheme="minorEastAsia" w:hAnsiTheme="minorEastAsia" w:eastAsiaTheme="minorEastAsia" w:cstheme="minorEastAsia"/>
        </w:rPr>
        <w:t>（包括但不限于因纠纷产生的诉讼费/仲裁费、律师费、公证保全费、向第三方支付的违约金/赔偿金、差旅费等一切费用）。</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12、争议</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12.1双方约定，凡因执行本合同所发生的与本合同有关的一切争议，当和解或调解不成时，选择下列第</w:t>
      </w:r>
      <w:r>
        <w:rPr>
          <w:rFonts w:hint="eastAsia" w:asciiTheme="minorEastAsia" w:hAnsiTheme="minorEastAsia" w:eastAsiaTheme="minorEastAsia" w:cstheme="minorEastAsia"/>
          <w:u w:val="single"/>
        </w:rPr>
        <w:t xml:space="preserve"> 2  </w:t>
      </w:r>
      <w:r>
        <w:rPr>
          <w:rFonts w:hint="eastAsia" w:asciiTheme="minorEastAsia" w:hAnsiTheme="minorEastAsia" w:eastAsiaTheme="minorEastAsia" w:cstheme="minorEastAsia"/>
        </w:rPr>
        <w:t>种方式解决：</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（1）将争议提交</w:t>
      </w:r>
      <w:r>
        <w:rPr>
          <w:rFonts w:hint="eastAsia" w:asciiTheme="minorEastAsia" w:hAnsiTheme="minorEastAsia" w:eastAsiaTheme="minorEastAsia" w:cstheme="minorEastAsia"/>
          <w:u w:val="single"/>
        </w:rPr>
        <w:t>福州</w:t>
      </w:r>
      <w:r>
        <w:rPr>
          <w:rFonts w:hint="eastAsia" w:asciiTheme="minorEastAsia" w:hAnsiTheme="minorEastAsia" w:eastAsiaTheme="minorEastAsia" w:cstheme="minorEastAsia"/>
        </w:rPr>
        <w:t>仲裁委员会仲裁；</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（2）依法向</w:t>
      </w:r>
      <w:r>
        <w:rPr>
          <w:rFonts w:hint="eastAsia" w:asciiTheme="minorEastAsia" w:hAnsiTheme="minorEastAsia" w:eastAsiaTheme="minorEastAsia" w:cstheme="minorEastAsia"/>
          <w:u w:val="single"/>
        </w:rPr>
        <w:t xml:space="preserve"> 甲方所在地 </w:t>
      </w:r>
      <w:r>
        <w:rPr>
          <w:rFonts w:hint="eastAsia" w:asciiTheme="minorEastAsia" w:hAnsiTheme="minorEastAsia" w:eastAsiaTheme="minorEastAsia" w:cstheme="minorEastAsia"/>
        </w:rPr>
        <w:t>人民法院提起诉讼。</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六、其他</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16、合同份数</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16．1双方约定合同</w:t>
      </w:r>
      <w:r>
        <w:rPr>
          <w:rFonts w:hint="eastAsia" w:asciiTheme="minorEastAsia" w:hAnsiTheme="minorEastAsia" w:eastAsiaTheme="minorEastAsia" w:cstheme="minorEastAsia"/>
          <w:u w:val="single"/>
        </w:rPr>
        <w:t>陆</w:t>
      </w:r>
      <w:r>
        <w:rPr>
          <w:rFonts w:hint="eastAsia" w:asciiTheme="minorEastAsia" w:hAnsiTheme="minorEastAsia" w:eastAsiaTheme="minorEastAsia" w:cstheme="minorEastAsia"/>
        </w:rPr>
        <w:t>份，其中，委托人</w:t>
      </w:r>
      <w:r>
        <w:rPr>
          <w:rFonts w:hint="eastAsia" w:asciiTheme="minorEastAsia" w:hAnsiTheme="minorEastAsia" w:eastAsiaTheme="minorEastAsia" w:cstheme="minorEastAsia"/>
          <w:u w:val="single"/>
        </w:rPr>
        <w:t>肆</w:t>
      </w:r>
      <w:r>
        <w:rPr>
          <w:rFonts w:hint="eastAsia" w:asciiTheme="minorEastAsia" w:hAnsiTheme="minorEastAsia" w:eastAsiaTheme="minorEastAsia" w:cstheme="minorEastAsia"/>
        </w:rPr>
        <w:t>份，受托人</w:t>
      </w:r>
      <w:r>
        <w:rPr>
          <w:rFonts w:hint="eastAsia" w:asciiTheme="minorEastAsia" w:hAnsiTheme="minorEastAsia" w:eastAsiaTheme="minorEastAsia" w:cstheme="minorEastAsia"/>
          <w:u w:val="single"/>
        </w:rPr>
        <w:t>贰</w:t>
      </w:r>
      <w:r>
        <w:rPr>
          <w:rFonts w:hint="eastAsia" w:asciiTheme="minorEastAsia" w:hAnsiTheme="minorEastAsia" w:eastAsiaTheme="minorEastAsia" w:cstheme="minorEastAsia"/>
        </w:rPr>
        <w:t>份。</w:t>
      </w:r>
    </w:p>
    <w:p>
      <w:pPr>
        <w:spacing w:line="360" w:lineRule="auto"/>
        <w:ind w:firstLine="42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rPr>
        <w:t>17、补充条款： 无 。</w:t>
      </w:r>
    </w:p>
    <w:p>
      <w:pPr>
        <w:spacing w:line="360" w:lineRule="auto"/>
        <w:rPr>
          <w:rFonts w:asciiTheme="minorEastAsia" w:hAnsiTheme="minorEastAsia" w:eastAsiaTheme="minorEastAsia" w:cstheme="minorEastAsia"/>
          <w:sz w:val="32"/>
          <w:szCs w:val="32"/>
        </w:rPr>
        <w:sectPr>
          <w:pgSz w:w="11906" w:h="16838"/>
          <w:pgMar w:top="1440" w:right="1800" w:bottom="1440" w:left="1800" w:header="851" w:footer="992" w:gutter="0"/>
          <w:cols w:space="720" w:num="1"/>
          <w:docGrid w:type="lines" w:linePitch="312" w:charSpace="0"/>
        </w:sectPr>
      </w:pPr>
    </w:p>
    <w:p>
      <w:pPr>
        <w:pStyle w:val="4"/>
        <w:spacing w:before="0" w:after="0" w:line="420" w:lineRule="exact"/>
        <w:ind w:left="3261"/>
        <w:rPr>
          <w:rFonts w:ascii="华文中宋" w:hAnsi="华文中宋" w:eastAsia="华文中宋"/>
          <w:b w:val="0"/>
          <w:sz w:val="28"/>
          <w:szCs w:val="18"/>
        </w:rPr>
      </w:pPr>
      <w:bookmarkStart w:id="37" w:name="_Toc3145"/>
      <w:r>
        <w:rPr>
          <w:rFonts w:ascii="华文中宋" w:hAnsi="华文中宋" w:eastAsia="华文中宋"/>
          <w:b w:val="0"/>
          <w:sz w:val="28"/>
          <w:szCs w:val="18"/>
        </w:rPr>
        <w:t>项目廉政责任书</w:t>
      </w:r>
      <w:bookmarkEnd w:id="37"/>
    </w:p>
    <w:p>
      <w:pPr>
        <w:spacing w:line="360" w:lineRule="auto"/>
        <w:rPr>
          <w:rFonts w:ascii="Times New Roman" w:hAnsi="Times New Roman"/>
        </w:rPr>
      </w:pPr>
    </w:p>
    <w:p>
      <w:pPr>
        <w:spacing w:line="360" w:lineRule="auto"/>
        <w:rPr>
          <w:rFonts w:ascii="Times New Roman" w:hAnsi="Times New Roman"/>
        </w:rPr>
      </w:pPr>
      <w:r>
        <w:rPr>
          <w:rFonts w:ascii="Times New Roman" w:hAnsi="Times New Roman"/>
        </w:rPr>
        <w:t>项目名称：</w:t>
      </w:r>
      <w:r>
        <w:rPr>
          <w:rFonts w:hint="eastAsia" w:ascii="Times New Roman" w:hAnsi="Times New Roman"/>
          <w:u w:val="single"/>
        </w:rPr>
        <w:t>天津大学福州国际联合学院2023-2024年度招标代理服务</w:t>
      </w:r>
    </w:p>
    <w:p>
      <w:pPr>
        <w:spacing w:line="360" w:lineRule="auto"/>
        <w:rPr>
          <w:rFonts w:ascii="Times New Roman" w:hAnsi="Times New Roman"/>
          <w:u w:val="single"/>
        </w:rPr>
      </w:pPr>
      <w:r>
        <w:rPr>
          <w:rFonts w:ascii="Times New Roman" w:hAnsi="Times New Roman"/>
        </w:rPr>
        <w:t>项目地址：</w:t>
      </w:r>
      <w:r>
        <w:rPr>
          <w:rFonts w:hint="eastAsia" w:ascii="Times New Roman" w:hAnsi="Times New Roman"/>
          <w:u w:val="single"/>
        </w:rPr>
        <w:t>福建省福州新区·长乐区善政路1号</w:t>
      </w:r>
    </w:p>
    <w:p>
      <w:pPr>
        <w:spacing w:line="360" w:lineRule="auto"/>
        <w:rPr>
          <w:rFonts w:ascii="Times New Roman" w:hAnsi="Times New Roman"/>
          <w:u w:val="single"/>
        </w:rPr>
      </w:pPr>
      <w:r>
        <w:rPr>
          <w:rFonts w:hint="eastAsia" w:ascii="Times New Roman" w:hAnsi="Times New Roman"/>
        </w:rPr>
        <w:t>委托</w:t>
      </w:r>
      <w:r>
        <w:rPr>
          <w:rFonts w:ascii="Times New Roman" w:hAnsi="Times New Roman"/>
        </w:rPr>
        <w:t>人(甲方）：</w:t>
      </w:r>
      <w:r>
        <w:rPr>
          <w:rFonts w:hint="eastAsia" w:ascii="Times New Roman" w:hAnsi="Times New Roman"/>
          <w:u w:val="single"/>
        </w:rPr>
        <w:t>天津大学福州国际联合学院</w:t>
      </w:r>
    </w:p>
    <w:p>
      <w:pPr>
        <w:spacing w:line="360" w:lineRule="auto"/>
        <w:rPr>
          <w:rFonts w:ascii="Times New Roman" w:hAnsi="Times New Roman"/>
          <w:u w:val="single"/>
        </w:rPr>
      </w:pPr>
      <w:r>
        <w:rPr>
          <w:rFonts w:ascii="Times New Roman" w:hAnsi="Times New Roman"/>
        </w:rPr>
        <w:t>受托人(乙方）：</w:t>
      </w:r>
      <w:r>
        <w:rPr>
          <w:rFonts w:hint="eastAsia" w:ascii="Times New Roman" w:hAnsi="Times New Roman"/>
          <w:u w:val="single"/>
        </w:rPr>
        <w:t xml:space="preserve">                     </w:t>
      </w:r>
      <w:r>
        <w:rPr>
          <w:rFonts w:ascii="Times New Roman" w:hAnsi="Times New Roman"/>
          <w:u w:val="single"/>
        </w:rPr>
        <w:t xml:space="preserve">   </w:t>
      </w:r>
    </w:p>
    <w:p>
      <w:pPr>
        <w:spacing w:line="360" w:lineRule="auto"/>
        <w:ind w:firstLine="420" w:firstLineChars="200"/>
        <w:rPr>
          <w:rFonts w:ascii="Times New Roman" w:hAnsi="Times New Roman"/>
        </w:rPr>
      </w:pPr>
      <w:r>
        <w:rPr>
          <w:rFonts w:ascii="Times New Roman" w:hAnsi="Times New Roman"/>
        </w:rPr>
        <w:t>为加强项目建设中的廉政建设，规范项目委托与被委托双方的各项活动，防止发生各种谋取不正当利益的违法违纪行为，保护国家、集体和当事人的合法权益，根据国家有关项目建设的法律法规和廉政建设责任制规定，特订立本廉政责任书。</w:t>
      </w:r>
    </w:p>
    <w:p>
      <w:pPr>
        <w:spacing w:line="360" w:lineRule="auto"/>
        <w:ind w:firstLine="420" w:firstLineChars="200"/>
        <w:rPr>
          <w:rFonts w:ascii="Times New Roman" w:hAnsi="Times New Roman"/>
        </w:rPr>
      </w:pPr>
      <w:r>
        <w:rPr>
          <w:rFonts w:ascii="Times New Roman" w:hAnsi="Times New Roman"/>
        </w:rPr>
        <w:t>第一条  甲乙双方的责任</w:t>
      </w:r>
    </w:p>
    <w:p>
      <w:pPr>
        <w:spacing w:line="360" w:lineRule="auto"/>
        <w:ind w:firstLine="420" w:firstLineChars="200"/>
        <w:rPr>
          <w:rFonts w:ascii="Times New Roman" w:hAnsi="Times New Roman"/>
        </w:rPr>
      </w:pPr>
      <w:r>
        <w:rPr>
          <w:rFonts w:ascii="Times New Roman" w:hAnsi="Times New Roman"/>
        </w:rPr>
        <w:t>(一）应严格遵守国家关于市场准入、项目招标投标、项目建设和市场活动的有关法律、法规，相关政策，以及廉政建设的各项规定。</w:t>
      </w:r>
    </w:p>
    <w:p>
      <w:pPr>
        <w:spacing w:line="360" w:lineRule="auto"/>
        <w:ind w:firstLine="420" w:firstLineChars="200"/>
        <w:rPr>
          <w:rFonts w:ascii="Times New Roman" w:hAnsi="Times New Roman"/>
        </w:rPr>
      </w:pPr>
      <w:r>
        <w:rPr>
          <w:rFonts w:ascii="Times New Roman" w:hAnsi="Times New Roman"/>
        </w:rPr>
        <w:t>(二）严格执行建设项目合同文件，自觉按合同办事。</w:t>
      </w:r>
    </w:p>
    <w:p>
      <w:pPr>
        <w:spacing w:line="360" w:lineRule="auto"/>
        <w:ind w:firstLine="420" w:firstLineChars="200"/>
        <w:rPr>
          <w:rFonts w:ascii="Times New Roman" w:hAnsi="Times New Roman"/>
        </w:rPr>
      </w:pPr>
      <w:r>
        <w:rPr>
          <w:rFonts w:ascii="Times New Roman" w:hAnsi="Times New Roman"/>
        </w:rPr>
        <w:t>(三）业务活动必须坚持公开、公平、公正、诚信、透明的原则(除法律法规另有规定者外），不得为获取不正当的利益，损害国家、集体和对方利益，不得违反项目建设管理的规章制度。</w:t>
      </w:r>
    </w:p>
    <w:p>
      <w:pPr>
        <w:spacing w:line="360" w:lineRule="auto"/>
        <w:ind w:firstLine="420" w:firstLineChars="200"/>
        <w:rPr>
          <w:rFonts w:ascii="Times New Roman" w:hAnsi="Times New Roman"/>
        </w:rPr>
      </w:pPr>
      <w:r>
        <w:rPr>
          <w:rFonts w:ascii="Times New Roman" w:hAnsi="Times New Roman"/>
        </w:rPr>
        <w:t>(四）发现对方在业务活动中有违规、违纪、违法行为的，应及时提醒对方，情节严重的，应向其上级主管部门或纪检监察、司法等有关机关举报。</w:t>
      </w:r>
    </w:p>
    <w:p>
      <w:pPr>
        <w:spacing w:line="360" w:lineRule="auto"/>
        <w:ind w:firstLine="420" w:firstLineChars="200"/>
        <w:rPr>
          <w:rFonts w:ascii="Times New Roman" w:hAnsi="Times New Roman"/>
        </w:rPr>
      </w:pPr>
      <w:r>
        <w:rPr>
          <w:rFonts w:ascii="Times New Roman" w:hAnsi="Times New Roman"/>
        </w:rPr>
        <w:t>第二条  甲方的责任</w:t>
      </w:r>
    </w:p>
    <w:p>
      <w:pPr>
        <w:spacing w:line="360" w:lineRule="auto"/>
        <w:ind w:firstLine="420" w:firstLineChars="200"/>
        <w:rPr>
          <w:rFonts w:ascii="Times New Roman" w:hAnsi="Times New Roman"/>
        </w:rPr>
      </w:pPr>
      <w:r>
        <w:rPr>
          <w:rFonts w:ascii="Times New Roman" w:hAnsi="Times New Roman"/>
        </w:rPr>
        <w:t>甲方的领导和从事该建设项目的工作人员，在项目建设的事前、事中、事后应遵守以下规定：</w:t>
      </w:r>
    </w:p>
    <w:p>
      <w:pPr>
        <w:spacing w:line="360" w:lineRule="auto"/>
        <w:ind w:firstLine="420" w:firstLineChars="200"/>
        <w:rPr>
          <w:rFonts w:ascii="Times New Roman" w:hAnsi="Times New Roman"/>
        </w:rPr>
      </w:pPr>
      <w:r>
        <w:rPr>
          <w:rFonts w:ascii="Times New Roman" w:hAnsi="Times New Roman"/>
        </w:rPr>
        <w:t>(一）不准向乙方和相关单位索要或接受回扣、礼金、有价证券、贵重物品和好处费、感谢费等。</w:t>
      </w:r>
    </w:p>
    <w:p>
      <w:pPr>
        <w:spacing w:line="360" w:lineRule="auto"/>
        <w:ind w:firstLine="420" w:firstLineChars="200"/>
        <w:rPr>
          <w:rFonts w:ascii="Times New Roman" w:hAnsi="Times New Roman"/>
        </w:rPr>
      </w:pPr>
      <w:r>
        <w:rPr>
          <w:rFonts w:ascii="Times New Roman" w:hAnsi="Times New Roman"/>
        </w:rPr>
        <w:t>(二）不准在乙方和相关单位报销任何应由甲方或个人支付的费用。</w:t>
      </w:r>
    </w:p>
    <w:p>
      <w:pPr>
        <w:spacing w:line="360" w:lineRule="auto"/>
        <w:ind w:firstLine="420" w:firstLineChars="200"/>
        <w:rPr>
          <w:rFonts w:ascii="Times New Roman" w:hAnsi="Times New Roman"/>
        </w:rPr>
      </w:pPr>
      <w:r>
        <w:rPr>
          <w:rFonts w:ascii="Times New Roman" w:hAnsi="Times New Roman"/>
        </w:rPr>
        <w:t>(三）不准要求、暗示或接受乙方和相关单位为个人装修住房、婚丧嫁娶、配偶子女的工作安排以及出国(境）、旅游等提供方便。</w:t>
      </w:r>
    </w:p>
    <w:p>
      <w:pPr>
        <w:spacing w:line="360" w:lineRule="auto"/>
        <w:ind w:firstLine="420" w:firstLineChars="200"/>
        <w:rPr>
          <w:rFonts w:ascii="Times New Roman" w:hAnsi="Times New Roman"/>
        </w:rPr>
      </w:pPr>
      <w:r>
        <w:rPr>
          <w:rFonts w:ascii="Times New Roman" w:hAnsi="Times New Roman"/>
        </w:rPr>
        <w:t>(四）不准参加有可能影响公正执行公务的乙方和相关单位的宴请、健身、娱乐等活动。</w:t>
      </w:r>
    </w:p>
    <w:p>
      <w:pPr>
        <w:spacing w:line="360" w:lineRule="auto"/>
        <w:ind w:firstLine="420" w:firstLineChars="200"/>
        <w:rPr>
          <w:rFonts w:ascii="Times New Roman" w:hAnsi="Times New Roman"/>
        </w:rPr>
      </w:pPr>
      <w:r>
        <w:rPr>
          <w:rFonts w:ascii="Times New Roman" w:hAnsi="Times New Roman"/>
        </w:rPr>
        <w:t>(五）不准向乙方和相关单位介绍或为配偶、子女、亲属参与同甲方项目合同有关业务等活动。</w:t>
      </w:r>
    </w:p>
    <w:p>
      <w:pPr>
        <w:spacing w:line="360" w:lineRule="auto"/>
        <w:ind w:firstLine="420" w:firstLineChars="200"/>
        <w:rPr>
          <w:rFonts w:ascii="Times New Roman" w:hAnsi="Times New Roman"/>
        </w:rPr>
      </w:pPr>
      <w:r>
        <w:rPr>
          <w:rFonts w:ascii="Times New Roman" w:hAnsi="Times New Roman"/>
        </w:rPr>
        <w:t>第三条  乙方的责任</w:t>
      </w:r>
    </w:p>
    <w:p>
      <w:pPr>
        <w:spacing w:line="360" w:lineRule="auto"/>
        <w:ind w:firstLine="420" w:firstLineChars="200"/>
        <w:rPr>
          <w:rFonts w:ascii="Times New Roman" w:hAnsi="Times New Roman"/>
        </w:rPr>
      </w:pPr>
      <w:r>
        <w:rPr>
          <w:rFonts w:ascii="Times New Roman" w:hAnsi="Times New Roman"/>
        </w:rPr>
        <w:t>应与甲方保持正常的业务交往，按照有关法律法规和程序开展业务工作，严格执行项目建设的有关方针、政策，尤其是有关强制性标准和规范，并遵守以下规定：</w:t>
      </w:r>
    </w:p>
    <w:p>
      <w:pPr>
        <w:spacing w:line="360" w:lineRule="auto"/>
        <w:ind w:firstLine="420" w:firstLineChars="200"/>
        <w:rPr>
          <w:rFonts w:ascii="Times New Roman" w:hAnsi="Times New Roman"/>
        </w:rPr>
      </w:pPr>
      <w:r>
        <w:rPr>
          <w:rFonts w:ascii="Times New Roman" w:hAnsi="Times New Roman"/>
        </w:rPr>
        <w:t>(一）不准以任何理由向甲方及其工作人员索要、接受或赠送礼金、有价证券、贵重物品及回扣、好处费、感谢费等。</w:t>
      </w:r>
    </w:p>
    <w:p>
      <w:pPr>
        <w:spacing w:line="360" w:lineRule="auto"/>
        <w:ind w:firstLine="420" w:firstLineChars="200"/>
        <w:rPr>
          <w:rFonts w:ascii="Times New Roman" w:hAnsi="Times New Roman"/>
        </w:rPr>
      </w:pPr>
      <w:r>
        <w:rPr>
          <w:rFonts w:ascii="Times New Roman" w:hAnsi="Times New Roman"/>
        </w:rPr>
        <w:t>(二）不准以任何理由为甲方和相关单位报销应由对方或个人支付的费用。</w:t>
      </w:r>
    </w:p>
    <w:p>
      <w:pPr>
        <w:spacing w:line="360" w:lineRule="auto"/>
        <w:ind w:firstLine="420" w:firstLineChars="200"/>
        <w:rPr>
          <w:rFonts w:ascii="Times New Roman" w:hAnsi="Times New Roman"/>
        </w:rPr>
      </w:pPr>
      <w:r>
        <w:rPr>
          <w:rFonts w:ascii="Times New Roman" w:hAnsi="Times New Roman"/>
        </w:rPr>
        <w:t>(三）不准接受或暗示为甲方、相关单位或个人装修住房、婚丧嫁娶、配偶子女的工作安排以及出国(境）、旅游等提供方便。</w:t>
      </w:r>
    </w:p>
    <w:p>
      <w:pPr>
        <w:spacing w:line="360" w:lineRule="auto"/>
        <w:ind w:firstLine="420" w:firstLineChars="200"/>
        <w:rPr>
          <w:rFonts w:ascii="Times New Roman" w:hAnsi="Times New Roman"/>
        </w:rPr>
      </w:pPr>
      <w:r>
        <w:rPr>
          <w:rFonts w:ascii="Times New Roman" w:hAnsi="Times New Roman"/>
        </w:rPr>
        <w:t>(四）不准以任何理由为甲方、相关单位或个人组织有可能影响公正执行公务的宴请、健身、娱乐等活动。</w:t>
      </w:r>
    </w:p>
    <w:p>
      <w:pPr>
        <w:spacing w:line="360" w:lineRule="auto"/>
        <w:ind w:firstLine="420" w:firstLineChars="200"/>
        <w:rPr>
          <w:rFonts w:ascii="Times New Roman" w:hAnsi="Times New Roman"/>
        </w:rPr>
      </w:pPr>
      <w:r>
        <w:rPr>
          <w:rFonts w:ascii="Times New Roman" w:hAnsi="Times New Roman"/>
        </w:rPr>
        <w:t>第四条  违约责任</w:t>
      </w:r>
    </w:p>
    <w:p>
      <w:pPr>
        <w:spacing w:line="360" w:lineRule="auto"/>
        <w:ind w:firstLine="420" w:firstLineChars="200"/>
        <w:rPr>
          <w:rFonts w:ascii="Times New Roman" w:hAnsi="Times New Roman"/>
        </w:rPr>
      </w:pPr>
      <w:r>
        <w:rPr>
          <w:rFonts w:ascii="Times New Roman" w:hAnsi="Times New Roman"/>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ind w:firstLine="420" w:firstLineChars="200"/>
        <w:rPr>
          <w:rFonts w:ascii="Times New Roman" w:hAnsi="Times New Roman"/>
        </w:rPr>
      </w:pPr>
      <w:r>
        <w:rPr>
          <w:rFonts w:ascii="Times New Roman" w:hAnsi="Times New Roman"/>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360" w:lineRule="auto"/>
        <w:ind w:firstLine="420" w:firstLineChars="200"/>
        <w:rPr>
          <w:rFonts w:ascii="Times New Roman" w:hAnsi="Times New Roman"/>
        </w:rPr>
      </w:pPr>
      <w:r>
        <w:rPr>
          <w:rFonts w:ascii="Times New Roman" w:hAnsi="Times New Roman"/>
        </w:rPr>
        <w:t>第五条  本责任书作为项目合同的附件，与项目合同具有同等法律效力。经双方签署后立即生效。</w:t>
      </w:r>
    </w:p>
    <w:p>
      <w:pPr>
        <w:spacing w:line="360" w:lineRule="auto"/>
        <w:ind w:firstLine="420" w:firstLineChars="200"/>
        <w:rPr>
          <w:rFonts w:ascii="Times New Roman" w:hAnsi="Times New Roman"/>
        </w:rPr>
      </w:pPr>
      <w:r>
        <w:rPr>
          <w:rFonts w:ascii="Times New Roman" w:hAnsi="Times New Roman"/>
        </w:rPr>
        <w:t>第六条  本责任书的有效期为双方签署之日起至该项目竣工验收合格时止。</w:t>
      </w:r>
    </w:p>
    <w:p>
      <w:pPr>
        <w:spacing w:line="360" w:lineRule="auto"/>
        <w:ind w:firstLine="420" w:firstLineChars="200"/>
        <w:rPr>
          <w:rFonts w:ascii="Times New Roman" w:hAnsi="Times New Roman"/>
        </w:rPr>
      </w:pPr>
      <w:r>
        <w:rPr>
          <w:rFonts w:ascii="Times New Roman" w:hAnsi="Times New Roman"/>
        </w:rPr>
        <w:t>第七条  本责任书一式</w:t>
      </w:r>
      <w:r>
        <w:rPr>
          <w:rFonts w:ascii="Times New Roman" w:hAnsi="Times New Roman"/>
          <w:u w:val="single"/>
        </w:rPr>
        <w:t xml:space="preserve"> </w:t>
      </w:r>
      <w:r>
        <w:rPr>
          <w:rFonts w:hint="eastAsia" w:ascii="Times New Roman" w:hAnsi="Times New Roman"/>
          <w:u w:val="single"/>
        </w:rPr>
        <w:t>陆</w:t>
      </w:r>
      <w:r>
        <w:rPr>
          <w:rFonts w:ascii="Times New Roman" w:hAnsi="Times New Roman"/>
          <w:u w:val="single"/>
        </w:rPr>
        <w:t xml:space="preserve"> </w:t>
      </w:r>
      <w:r>
        <w:rPr>
          <w:rFonts w:ascii="Times New Roman" w:hAnsi="Times New Roman"/>
        </w:rPr>
        <w:t>份，甲方执</w:t>
      </w:r>
      <w:r>
        <w:rPr>
          <w:rFonts w:hint="eastAsia" w:ascii="Times New Roman" w:hAnsi="Times New Roman"/>
        </w:rPr>
        <w:t>肆</w:t>
      </w:r>
      <w:r>
        <w:rPr>
          <w:rFonts w:ascii="Times New Roman" w:hAnsi="Times New Roman"/>
        </w:rPr>
        <w:t>份</w:t>
      </w:r>
      <w:r>
        <w:rPr>
          <w:rFonts w:hint="eastAsia" w:ascii="Times New Roman" w:hAnsi="Times New Roman"/>
        </w:rPr>
        <w:t>，</w:t>
      </w:r>
      <w:r>
        <w:rPr>
          <w:rFonts w:ascii="Times New Roman" w:hAnsi="Times New Roman"/>
        </w:rPr>
        <w:t>乙方执</w:t>
      </w:r>
      <w:r>
        <w:rPr>
          <w:rFonts w:ascii="Times New Roman" w:hAnsi="Times New Roman"/>
          <w:u w:val="single"/>
        </w:rPr>
        <w:t xml:space="preserve"> 贰 </w:t>
      </w:r>
      <w:r>
        <w:rPr>
          <w:rFonts w:ascii="Times New Roman" w:hAnsi="Times New Roman"/>
        </w:rPr>
        <w:t>份。</w:t>
      </w:r>
    </w:p>
    <w:p>
      <w:pPr>
        <w:spacing w:line="360" w:lineRule="auto"/>
        <w:ind w:firstLine="420" w:firstLineChars="200"/>
        <w:rPr>
          <w:rFonts w:ascii="Times New Roman" w:hAnsi="Times New Roman"/>
        </w:rPr>
      </w:pPr>
      <w:r>
        <w:rPr>
          <w:rFonts w:ascii="Times New Roman" w:hAnsi="Times New Roman"/>
        </w:rPr>
        <w:t>甲方单位：（盖章）                 乙方单位：（盖章）</w:t>
      </w:r>
    </w:p>
    <w:p>
      <w:pPr>
        <w:spacing w:line="360" w:lineRule="auto"/>
        <w:ind w:firstLine="420" w:firstLineChars="200"/>
        <w:rPr>
          <w:rFonts w:ascii="Times New Roman" w:hAnsi="Times New Roman"/>
        </w:rPr>
      </w:pPr>
      <w:r>
        <w:rPr>
          <w:rFonts w:ascii="Times New Roman" w:hAnsi="Times New Roman"/>
        </w:rPr>
        <w:t>法定代表人：                       法定代表人：</w:t>
      </w:r>
    </w:p>
    <w:p>
      <w:pPr>
        <w:spacing w:line="360" w:lineRule="auto"/>
        <w:ind w:firstLine="420" w:firstLineChars="200"/>
        <w:rPr>
          <w:rFonts w:ascii="Times New Roman" w:hAnsi="Times New Roman"/>
        </w:rPr>
      </w:pPr>
      <w:r>
        <w:rPr>
          <w:rFonts w:ascii="Times New Roman" w:hAnsi="Times New Roman"/>
        </w:rPr>
        <w:t>地址：                             地址：</w:t>
      </w:r>
    </w:p>
    <w:p>
      <w:pPr>
        <w:spacing w:line="360" w:lineRule="auto"/>
        <w:ind w:firstLine="420" w:firstLineChars="200"/>
        <w:rPr>
          <w:rFonts w:ascii="Times New Roman" w:hAnsi="Times New Roman"/>
        </w:rPr>
      </w:pPr>
      <w:r>
        <w:rPr>
          <w:rFonts w:ascii="Times New Roman" w:hAnsi="Times New Roman"/>
        </w:rPr>
        <w:t>电话：                             电话：</w:t>
      </w:r>
    </w:p>
    <w:p>
      <w:pPr>
        <w:spacing w:line="360" w:lineRule="auto"/>
        <w:ind w:firstLine="420" w:firstLineChars="200"/>
        <w:rPr>
          <w:rFonts w:ascii="Times New Roman" w:hAnsi="Times New Roman"/>
        </w:rPr>
      </w:pPr>
      <w:r>
        <w:rPr>
          <w:rFonts w:ascii="Times New Roman" w:hAnsi="Times New Roman"/>
        </w:rPr>
        <w:t>年     月     日                    年     月     日</w:t>
      </w:r>
    </w:p>
    <w:p>
      <w:pPr>
        <w:pStyle w:val="8"/>
      </w:pPr>
      <w:r>
        <w:br w:type="page"/>
      </w:r>
    </w:p>
    <w:p>
      <w:pPr>
        <w:pStyle w:val="4"/>
        <w:spacing w:before="0" w:after="0" w:line="420" w:lineRule="exact"/>
        <w:jc w:val="center"/>
        <w:rPr>
          <w:rFonts w:ascii="华文中宋" w:hAnsi="华文中宋" w:eastAsia="华文中宋"/>
          <w:bCs/>
          <w:sz w:val="28"/>
          <w:szCs w:val="18"/>
        </w:rPr>
      </w:pPr>
      <w:r>
        <w:rPr>
          <w:rFonts w:ascii="华文中宋" w:hAnsi="华文中宋" w:eastAsia="华文中宋"/>
          <w:bCs/>
          <w:sz w:val="28"/>
          <w:szCs w:val="18"/>
        </w:rPr>
        <w:t>天津大学福州国际研究院招标代理机构履约考核明细表</w:t>
      </w:r>
    </w:p>
    <w:tbl>
      <w:tblPr>
        <w:tblStyle w:val="22"/>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496"/>
        <w:gridCol w:w="5733"/>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blHeader/>
          <w:jc w:val="center"/>
        </w:trPr>
        <w:tc>
          <w:tcPr>
            <w:tcW w:w="7609" w:type="dxa"/>
            <w:gridSpan w:val="3"/>
            <w:tcBorders>
              <w:top w:val="single" w:color="auto" w:sz="4" w:space="0"/>
            </w:tcBorders>
            <w:vAlign w:val="center"/>
          </w:tcPr>
          <w:p>
            <w:pPr>
              <w:adjustRightInd w:val="0"/>
              <w:snapToGrid w:val="0"/>
              <w:ind w:firstLine="482" w:firstLineChars="200"/>
              <w:jc w:val="center"/>
              <w:rPr>
                <w:rFonts w:ascii="仿宋" w:hAnsi="仿宋" w:eastAsia="仿宋" w:cs="Times New Roman"/>
                <w:b/>
                <w:bCs/>
                <w:sz w:val="24"/>
              </w:rPr>
            </w:pPr>
            <w:r>
              <w:rPr>
                <w:rFonts w:ascii="仿宋" w:hAnsi="仿宋" w:eastAsia="仿宋" w:cs="Times New Roman"/>
                <w:b/>
                <w:bCs/>
                <w:sz w:val="24"/>
              </w:rPr>
              <w:t>评价内容</w:t>
            </w:r>
          </w:p>
        </w:tc>
        <w:tc>
          <w:tcPr>
            <w:tcW w:w="891" w:type="dxa"/>
            <w:tcBorders>
              <w:top w:val="single" w:color="auto" w:sz="4" w:space="0"/>
            </w:tcBorders>
            <w:vAlign w:val="center"/>
          </w:tcPr>
          <w:p>
            <w:pPr>
              <w:adjustRightInd w:val="0"/>
              <w:snapToGrid w:val="0"/>
              <w:jc w:val="center"/>
              <w:rPr>
                <w:rFonts w:ascii="仿宋" w:hAnsi="仿宋" w:eastAsia="仿宋" w:cs="Times New Roman"/>
                <w:b/>
                <w:bCs/>
                <w:sz w:val="24"/>
              </w:rPr>
            </w:pPr>
            <w:r>
              <w:rPr>
                <w:rFonts w:ascii="仿宋" w:hAnsi="仿宋" w:eastAsia="仿宋" w:cs="Times New Roman"/>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380" w:type="dxa"/>
            <w:vMerge w:val="restart"/>
            <w:vAlign w:val="center"/>
          </w:tcPr>
          <w:p>
            <w:pPr>
              <w:adjustRightInd w:val="0"/>
              <w:snapToGrid w:val="0"/>
              <w:jc w:val="center"/>
              <w:rPr>
                <w:rFonts w:ascii="仿宋" w:hAnsi="仿宋" w:eastAsia="仿宋" w:cs="Times New Roman"/>
                <w:sz w:val="24"/>
              </w:rPr>
            </w:pPr>
            <w:r>
              <w:rPr>
                <w:rFonts w:ascii="仿宋" w:hAnsi="仿宋" w:eastAsia="仿宋" w:cs="Times New Roman"/>
                <w:sz w:val="24"/>
              </w:rPr>
              <w:t>采购文件编写质量</w:t>
            </w: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1</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采购文件编制规范、完整。</w:t>
            </w:r>
          </w:p>
          <w:p>
            <w:pPr>
              <w:adjustRightInd w:val="0"/>
              <w:snapToGrid w:val="0"/>
              <w:rPr>
                <w:rFonts w:ascii="仿宋" w:hAnsi="仿宋" w:eastAsia="仿宋" w:cs="Times New Roman"/>
                <w:sz w:val="24"/>
              </w:rPr>
            </w:pPr>
            <w:r>
              <w:rPr>
                <w:rFonts w:hint="eastAsia" w:ascii="仿宋" w:hAnsi="仿宋" w:eastAsia="仿宋" w:cs="Times New Roman"/>
                <w:szCs w:val="21"/>
              </w:rPr>
              <w:t>优秀：9-10；良好7-8；合格：5-6；不合格：5分以下</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80" w:type="dxa"/>
            <w:vMerge w:val="continue"/>
            <w:vAlign w:val="center"/>
          </w:tcPr>
          <w:p>
            <w:pPr>
              <w:adjustRightInd w:val="0"/>
              <w:snapToGrid w:val="0"/>
              <w:ind w:firstLine="480" w:firstLineChars="200"/>
              <w:jc w:val="center"/>
              <w:rPr>
                <w:rFonts w:ascii="仿宋" w:hAnsi="仿宋" w:eastAsia="仿宋" w:cs="Times New Roman"/>
                <w:sz w:val="24"/>
              </w:rPr>
            </w:pP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2</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采购文件中评审方法和标准符合规定。</w:t>
            </w:r>
          </w:p>
          <w:p>
            <w:pPr>
              <w:adjustRightInd w:val="0"/>
              <w:snapToGrid w:val="0"/>
              <w:rPr>
                <w:rFonts w:ascii="仿宋" w:hAnsi="仿宋" w:eastAsia="仿宋" w:cs="Times New Roman"/>
                <w:sz w:val="24"/>
              </w:rPr>
            </w:pPr>
            <w:r>
              <w:rPr>
                <w:rFonts w:hint="eastAsia" w:ascii="仿宋" w:hAnsi="仿宋" w:eastAsia="仿宋" w:cs="Times New Roman"/>
                <w:szCs w:val="21"/>
              </w:rPr>
              <w:t>优秀：14-15；良好11-13；合格：9-11；不合格：9分以下</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80" w:type="dxa"/>
            <w:vMerge w:val="restart"/>
            <w:vAlign w:val="center"/>
          </w:tcPr>
          <w:p>
            <w:pPr>
              <w:adjustRightInd w:val="0"/>
              <w:snapToGrid w:val="0"/>
              <w:jc w:val="center"/>
              <w:rPr>
                <w:rFonts w:ascii="仿宋" w:hAnsi="仿宋" w:eastAsia="仿宋" w:cs="Times New Roman"/>
                <w:sz w:val="24"/>
              </w:rPr>
            </w:pPr>
            <w:r>
              <w:rPr>
                <w:rFonts w:ascii="仿宋" w:hAnsi="仿宋" w:eastAsia="仿宋" w:cs="Times New Roman"/>
                <w:sz w:val="24"/>
              </w:rPr>
              <w:t>评审活动组织（评审过程中如出现所列情况则该项不得分）</w:t>
            </w: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3</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代理机构准确通知评审时间、地点。评审时间、地点改变后，及时通知评审专家。</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80" w:type="dxa"/>
            <w:vMerge w:val="continue"/>
            <w:vAlign w:val="center"/>
          </w:tcPr>
          <w:p>
            <w:pPr>
              <w:adjustRightInd w:val="0"/>
              <w:snapToGrid w:val="0"/>
              <w:ind w:firstLine="480" w:firstLineChars="200"/>
              <w:jc w:val="center"/>
              <w:rPr>
                <w:rFonts w:ascii="仿宋" w:hAnsi="仿宋" w:eastAsia="仿宋" w:cs="Times New Roman"/>
                <w:sz w:val="24"/>
              </w:rPr>
            </w:pP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4</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代理机构人员核对评审专家身份和采购人代表授权函。</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80" w:type="dxa"/>
            <w:vMerge w:val="continue"/>
            <w:vAlign w:val="center"/>
          </w:tcPr>
          <w:p>
            <w:pPr>
              <w:adjustRightInd w:val="0"/>
              <w:snapToGrid w:val="0"/>
              <w:ind w:firstLine="480" w:firstLineChars="200"/>
              <w:jc w:val="center"/>
              <w:rPr>
                <w:rFonts w:ascii="仿宋" w:hAnsi="仿宋" w:eastAsia="仿宋" w:cs="Times New Roman"/>
                <w:sz w:val="24"/>
              </w:rPr>
            </w:pP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5</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代理机构人员告知评审专家应当回避的情形，介绍政府采购相关政策法规、招标文件。</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80" w:type="dxa"/>
            <w:vMerge w:val="continue"/>
            <w:vAlign w:val="center"/>
          </w:tcPr>
          <w:p>
            <w:pPr>
              <w:adjustRightInd w:val="0"/>
              <w:snapToGrid w:val="0"/>
              <w:ind w:firstLine="480" w:firstLineChars="200"/>
              <w:jc w:val="center"/>
              <w:rPr>
                <w:rFonts w:ascii="仿宋" w:hAnsi="仿宋" w:eastAsia="仿宋" w:cs="Times New Roman"/>
                <w:sz w:val="24"/>
              </w:rPr>
            </w:pP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6</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在评审工作开始前，代理机构统一将手机等通讯工具或相关电子设备进行保管。</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80" w:type="dxa"/>
            <w:vMerge w:val="continue"/>
            <w:vAlign w:val="center"/>
          </w:tcPr>
          <w:p>
            <w:pPr>
              <w:adjustRightInd w:val="0"/>
              <w:snapToGrid w:val="0"/>
              <w:ind w:firstLine="480" w:firstLineChars="200"/>
              <w:jc w:val="center"/>
              <w:rPr>
                <w:rFonts w:ascii="仿宋" w:hAnsi="仿宋" w:eastAsia="仿宋" w:cs="Times New Roman"/>
                <w:sz w:val="24"/>
              </w:rPr>
            </w:pP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7</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代理机构提供必要的评审条件及配套的评审环境。</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80" w:type="dxa"/>
            <w:vMerge w:val="continue"/>
            <w:vAlign w:val="center"/>
          </w:tcPr>
          <w:p>
            <w:pPr>
              <w:adjustRightInd w:val="0"/>
              <w:snapToGrid w:val="0"/>
              <w:ind w:firstLine="480" w:firstLineChars="200"/>
              <w:jc w:val="center"/>
              <w:rPr>
                <w:rFonts w:ascii="仿宋" w:hAnsi="仿宋" w:eastAsia="仿宋" w:cs="Times New Roman"/>
                <w:sz w:val="24"/>
              </w:rPr>
            </w:pP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8</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代理机构按规定对开标、评标（评审）活动进行全程录音、录像。</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80" w:type="dxa"/>
            <w:vMerge w:val="continue"/>
            <w:vAlign w:val="center"/>
          </w:tcPr>
          <w:p>
            <w:pPr>
              <w:adjustRightInd w:val="0"/>
              <w:snapToGrid w:val="0"/>
              <w:ind w:firstLine="480" w:firstLineChars="200"/>
              <w:jc w:val="center"/>
              <w:rPr>
                <w:rFonts w:ascii="仿宋" w:hAnsi="仿宋" w:eastAsia="仿宋" w:cs="Times New Roman"/>
                <w:sz w:val="24"/>
              </w:rPr>
            </w:pP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9</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代理机构保障评审活动不受外界干扰。</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80" w:type="dxa"/>
            <w:vMerge w:val="continue"/>
            <w:vAlign w:val="center"/>
          </w:tcPr>
          <w:p>
            <w:pPr>
              <w:adjustRightInd w:val="0"/>
              <w:snapToGrid w:val="0"/>
              <w:ind w:firstLine="480" w:firstLineChars="200"/>
              <w:jc w:val="center"/>
              <w:rPr>
                <w:rFonts w:ascii="仿宋" w:hAnsi="仿宋" w:eastAsia="仿宋" w:cs="Times New Roman"/>
                <w:sz w:val="24"/>
              </w:rPr>
            </w:pP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10</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代理机构采取必要措施禁止与评审工作无关的人员进入评审现场。</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80" w:type="dxa"/>
            <w:vMerge w:val="continue"/>
            <w:vAlign w:val="center"/>
          </w:tcPr>
          <w:p>
            <w:pPr>
              <w:adjustRightInd w:val="0"/>
              <w:snapToGrid w:val="0"/>
              <w:ind w:firstLine="480" w:firstLineChars="200"/>
              <w:jc w:val="center"/>
              <w:rPr>
                <w:rFonts w:ascii="仿宋" w:hAnsi="仿宋" w:eastAsia="仿宋" w:cs="Times New Roman"/>
                <w:sz w:val="24"/>
              </w:rPr>
            </w:pP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11</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代理机构督促评审委员会按规定独立评审，及时纠正和制止倾向性言论等违法行为。</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80" w:type="dxa"/>
            <w:vMerge w:val="continue"/>
            <w:vAlign w:val="center"/>
          </w:tcPr>
          <w:p>
            <w:pPr>
              <w:adjustRightInd w:val="0"/>
              <w:snapToGrid w:val="0"/>
              <w:ind w:firstLine="480" w:firstLineChars="200"/>
              <w:jc w:val="center"/>
              <w:rPr>
                <w:rFonts w:ascii="仿宋" w:hAnsi="仿宋" w:eastAsia="仿宋" w:cs="Times New Roman"/>
                <w:sz w:val="24"/>
              </w:rPr>
            </w:pP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12</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代理机构没有擅自终止采购活动。</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80" w:type="dxa"/>
            <w:vMerge w:val="continue"/>
            <w:vAlign w:val="center"/>
          </w:tcPr>
          <w:p>
            <w:pPr>
              <w:adjustRightInd w:val="0"/>
              <w:snapToGrid w:val="0"/>
              <w:ind w:firstLine="480" w:firstLineChars="200"/>
              <w:jc w:val="center"/>
              <w:rPr>
                <w:rFonts w:ascii="仿宋" w:hAnsi="仿宋" w:eastAsia="仿宋" w:cs="Times New Roman"/>
                <w:sz w:val="24"/>
              </w:rPr>
            </w:pP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13</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代理机构及时按照规定向评审专家支付劳务报酬或异地评审差旅费。</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380" w:type="dxa"/>
            <w:vMerge w:val="continue"/>
            <w:vAlign w:val="center"/>
          </w:tcPr>
          <w:p>
            <w:pPr>
              <w:adjustRightInd w:val="0"/>
              <w:snapToGrid w:val="0"/>
              <w:jc w:val="center"/>
              <w:rPr>
                <w:rFonts w:ascii="仿宋" w:hAnsi="仿宋" w:eastAsia="仿宋" w:cs="Times New Roman"/>
                <w:sz w:val="24"/>
              </w:rPr>
            </w:pP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14</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代理机构人员未发表存在歧视性、倾向性意见，或非法干预采购评审活动。</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80" w:type="dxa"/>
            <w:vMerge w:val="continue"/>
            <w:vAlign w:val="center"/>
          </w:tcPr>
          <w:p>
            <w:pPr>
              <w:adjustRightInd w:val="0"/>
              <w:snapToGrid w:val="0"/>
              <w:ind w:firstLine="480" w:firstLineChars="200"/>
              <w:jc w:val="center"/>
              <w:rPr>
                <w:rFonts w:ascii="仿宋" w:hAnsi="仿宋" w:eastAsia="仿宋" w:cs="Times New Roman"/>
                <w:sz w:val="24"/>
              </w:rPr>
            </w:pP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15</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代理机构认真核对评审结果。</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80" w:type="dxa"/>
            <w:vMerge w:val="restart"/>
            <w:vAlign w:val="center"/>
          </w:tcPr>
          <w:p>
            <w:pPr>
              <w:adjustRightInd w:val="0"/>
              <w:snapToGrid w:val="0"/>
              <w:rPr>
                <w:rFonts w:ascii="仿宋" w:hAnsi="仿宋" w:eastAsia="仿宋" w:cs="Times New Roman"/>
                <w:sz w:val="24"/>
              </w:rPr>
            </w:pPr>
            <w:r>
              <w:rPr>
                <w:rFonts w:ascii="仿宋" w:hAnsi="仿宋" w:eastAsia="仿宋" w:cs="Times New Roman"/>
                <w:sz w:val="24"/>
              </w:rPr>
              <w:t>职业素质</w:t>
            </w: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16</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代理机构工作人员熟练掌握政府采购各项法律法规和规章制度。</w:t>
            </w:r>
          </w:p>
          <w:p>
            <w:pPr>
              <w:adjustRightInd w:val="0"/>
              <w:snapToGrid w:val="0"/>
              <w:rPr>
                <w:rFonts w:ascii="仿宋" w:hAnsi="仿宋" w:eastAsia="仿宋" w:cs="Times New Roman"/>
                <w:sz w:val="24"/>
              </w:rPr>
            </w:pPr>
            <w:r>
              <w:rPr>
                <w:rFonts w:hint="eastAsia" w:ascii="仿宋" w:hAnsi="仿宋" w:eastAsia="仿宋" w:cs="Times New Roman"/>
                <w:szCs w:val="21"/>
              </w:rPr>
              <w:t>优秀：7-8；良好6-7；合格：4-5；不合格：4分以下</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80" w:type="dxa"/>
            <w:vMerge w:val="continue"/>
            <w:vAlign w:val="center"/>
          </w:tcPr>
          <w:p>
            <w:pPr>
              <w:adjustRightInd w:val="0"/>
              <w:snapToGrid w:val="0"/>
              <w:ind w:firstLine="480" w:firstLineChars="200"/>
              <w:jc w:val="center"/>
              <w:rPr>
                <w:rFonts w:ascii="仿宋" w:hAnsi="仿宋" w:eastAsia="仿宋" w:cs="Times New Roman"/>
                <w:sz w:val="24"/>
              </w:rPr>
            </w:pPr>
          </w:p>
        </w:tc>
        <w:tc>
          <w:tcPr>
            <w:tcW w:w="496"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17</w:t>
            </w:r>
          </w:p>
        </w:tc>
        <w:tc>
          <w:tcPr>
            <w:tcW w:w="5733" w:type="dxa"/>
            <w:vAlign w:val="center"/>
          </w:tcPr>
          <w:p>
            <w:pPr>
              <w:adjustRightInd w:val="0"/>
              <w:snapToGrid w:val="0"/>
              <w:rPr>
                <w:rFonts w:ascii="仿宋" w:hAnsi="仿宋" w:eastAsia="仿宋" w:cs="Times New Roman"/>
                <w:sz w:val="24"/>
              </w:rPr>
            </w:pPr>
            <w:r>
              <w:rPr>
                <w:rFonts w:ascii="仿宋" w:hAnsi="仿宋" w:eastAsia="仿宋" w:cs="Times New Roman"/>
                <w:sz w:val="24"/>
              </w:rPr>
              <w:t>代理机构人员服务过程细致耐心，严格规范。</w:t>
            </w:r>
          </w:p>
          <w:p>
            <w:pPr>
              <w:adjustRightInd w:val="0"/>
              <w:snapToGrid w:val="0"/>
              <w:rPr>
                <w:rFonts w:ascii="仿宋" w:hAnsi="仿宋" w:eastAsia="仿宋" w:cs="Times New Roman"/>
                <w:sz w:val="24"/>
              </w:rPr>
            </w:pPr>
            <w:r>
              <w:rPr>
                <w:rFonts w:hint="eastAsia" w:ascii="仿宋" w:hAnsi="仿宋" w:eastAsia="仿宋" w:cs="Times New Roman"/>
                <w:szCs w:val="21"/>
              </w:rPr>
              <w:t>优秀：5；良好4；合格：3；不合格：3分以下</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80" w:type="dxa"/>
            <w:vAlign w:val="center"/>
          </w:tcPr>
          <w:p>
            <w:pPr>
              <w:adjustRightInd w:val="0"/>
              <w:snapToGrid w:val="0"/>
              <w:ind w:firstLine="480" w:firstLineChars="200"/>
              <w:jc w:val="center"/>
              <w:rPr>
                <w:rFonts w:ascii="仿宋" w:hAnsi="仿宋" w:eastAsia="仿宋" w:cs="Times New Roman"/>
                <w:sz w:val="24"/>
              </w:rPr>
            </w:pPr>
          </w:p>
        </w:tc>
        <w:tc>
          <w:tcPr>
            <w:tcW w:w="496" w:type="dxa"/>
            <w:vAlign w:val="center"/>
          </w:tcPr>
          <w:p>
            <w:pPr>
              <w:adjustRightInd w:val="0"/>
              <w:snapToGrid w:val="0"/>
              <w:ind w:firstLine="480" w:firstLineChars="200"/>
              <w:jc w:val="center"/>
              <w:rPr>
                <w:rFonts w:ascii="仿宋" w:hAnsi="仿宋" w:eastAsia="仿宋" w:cs="Times New Roman"/>
                <w:sz w:val="24"/>
              </w:rPr>
            </w:pPr>
          </w:p>
        </w:tc>
        <w:tc>
          <w:tcPr>
            <w:tcW w:w="5733" w:type="dxa"/>
            <w:vAlign w:val="center"/>
          </w:tcPr>
          <w:p>
            <w:pPr>
              <w:adjustRightInd w:val="0"/>
              <w:snapToGrid w:val="0"/>
              <w:ind w:firstLine="480" w:firstLineChars="200"/>
              <w:jc w:val="center"/>
              <w:rPr>
                <w:rFonts w:ascii="仿宋" w:hAnsi="仿宋" w:eastAsia="仿宋" w:cs="Times New Roman"/>
                <w:sz w:val="24"/>
              </w:rPr>
            </w:pPr>
            <w:r>
              <w:rPr>
                <w:rFonts w:ascii="仿宋" w:hAnsi="仿宋" w:eastAsia="仿宋" w:cs="Times New Roman"/>
                <w:sz w:val="24"/>
              </w:rPr>
              <w:t>合计</w:t>
            </w:r>
          </w:p>
        </w:tc>
        <w:tc>
          <w:tcPr>
            <w:tcW w:w="891" w:type="dxa"/>
            <w:vAlign w:val="center"/>
          </w:tcPr>
          <w:p>
            <w:pPr>
              <w:adjustRightInd w:val="0"/>
              <w:snapToGrid w:val="0"/>
              <w:jc w:val="center"/>
              <w:rPr>
                <w:rFonts w:ascii="仿宋" w:hAnsi="仿宋" w:eastAsia="仿宋" w:cs="Times New Roman"/>
                <w:sz w:val="24"/>
              </w:rPr>
            </w:pPr>
            <w:r>
              <w:rPr>
                <w:rFonts w:ascii="仿宋" w:hAnsi="仿宋" w:eastAsia="仿宋" w:cs="Times New Roman"/>
                <w:sz w:val="24"/>
              </w:rPr>
              <w:t>100</w:t>
            </w:r>
          </w:p>
        </w:tc>
      </w:tr>
    </w:tbl>
    <w:p>
      <w:pPr>
        <w:spacing w:line="360" w:lineRule="auto"/>
        <w:rPr>
          <w:rFonts w:ascii="仿宋" w:hAnsi="仿宋" w:eastAsia="仿宋"/>
          <w:b/>
          <w:bCs/>
          <w:szCs w:val="21"/>
        </w:rPr>
      </w:pPr>
      <w:r>
        <w:rPr>
          <w:rFonts w:hint="eastAsia" w:ascii="仿宋" w:hAnsi="仿宋" w:eastAsia="仿宋"/>
          <w:b/>
          <w:bCs/>
          <w:szCs w:val="21"/>
        </w:rPr>
        <w:t>注：90分及以上为优秀；80-89分为良好；60-79分为合格；60分以下不合格。</w:t>
      </w:r>
    </w:p>
    <w:p>
      <w:pPr>
        <w:rPr>
          <w:rStyle w:val="24"/>
          <w:rFonts w:ascii="宋体" w:hAnsi="宋体" w:cs="宋体"/>
          <w:color w:val="000000" w:themeColor="text1"/>
          <w:sz w:val="36"/>
          <w:szCs w:val="36"/>
          <w:shd w:val="clear" w:color="auto" w:fill="FFFFFF"/>
          <w14:textFill>
            <w14:solidFill>
              <w14:schemeClr w14:val="tx1"/>
            </w14:solidFill>
          </w14:textFill>
        </w:rPr>
      </w:pPr>
      <w:bookmarkStart w:id="38" w:name="_Toc23625"/>
      <w:r>
        <w:rPr>
          <w:rStyle w:val="24"/>
          <w:rFonts w:ascii="宋体" w:hAnsi="宋体" w:cs="宋体"/>
          <w:color w:val="000000" w:themeColor="text1"/>
          <w:sz w:val="36"/>
          <w:szCs w:val="36"/>
          <w:shd w:val="clear" w:color="auto" w:fill="FFFFFF"/>
          <w14:textFill>
            <w14:solidFill>
              <w14:schemeClr w14:val="tx1"/>
            </w14:solidFill>
          </w14:textFill>
        </w:rPr>
        <w:br w:type="page"/>
      </w:r>
    </w:p>
    <w:p>
      <w:pPr>
        <w:pStyle w:val="18"/>
        <w:widowControl/>
        <w:adjustRightInd w:val="0"/>
        <w:spacing w:before="75" w:beforeAutospacing="0" w:after="75" w:afterAutospacing="0" w:line="435" w:lineRule="atLeast"/>
        <w:jc w:val="center"/>
        <w:outlineLvl w:val="0"/>
        <w:rPr>
          <w:rFonts w:ascii="宋体" w:hAnsi="宋体" w:cs="宋体"/>
          <w:color w:val="000000" w:themeColor="text1"/>
          <w:sz w:val="36"/>
          <w:szCs w:val="36"/>
          <w14:textFill>
            <w14:solidFill>
              <w14:schemeClr w14:val="tx1"/>
            </w14:solidFill>
          </w14:textFill>
        </w:rPr>
      </w:pPr>
      <w:r>
        <w:rPr>
          <w:rStyle w:val="24"/>
          <w:rFonts w:hint="eastAsia" w:ascii="宋体" w:hAnsi="宋体" w:cs="宋体"/>
          <w:color w:val="000000" w:themeColor="text1"/>
          <w:sz w:val="36"/>
          <w:szCs w:val="36"/>
          <w:shd w:val="clear" w:color="auto" w:fill="FFFFFF"/>
          <w14:textFill>
            <w14:solidFill>
              <w14:schemeClr w14:val="tx1"/>
            </w14:solidFill>
          </w14:textFill>
        </w:rPr>
        <w:t>第五章  首次响应文件格式</w:t>
      </w:r>
      <w:bookmarkEnd w:id="38"/>
    </w:p>
    <w:p>
      <w:pPr>
        <w:pStyle w:val="18"/>
        <w:widowControl/>
        <w:adjustRightInd w:val="0"/>
        <w:spacing w:before="75" w:beforeAutospacing="0" w:after="75" w:afterAutospacing="0"/>
        <w:jc w:val="center"/>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jc w:val="center"/>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编制说明</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widowControl/>
        <w:adjustRightInd w:val="0"/>
        <w:jc w:val="left"/>
        <w:rPr>
          <w:rFonts w:ascii="宋体" w:hAnsi="宋体" w:cs="宋体"/>
          <w:color w:val="000000" w:themeColor="text1"/>
          <w:kern w:val="0"/>
          <w:sz w:val="24"/>
          <w:shd w:val="clear" w:color="auto" w:fill="FFFFFF"/>
          <w14:textFill>
            <w14:solidFill>
              <w14:schemeClr w14:val="tx1"/>
            </w14:solidFill>
          </w14:textFill>
        </w:rPr>
      </w:pPr>
      <w:r>
        <w:rPr>
          <w:rFonts w:ascii="宋体" w:hAnsi="宋体" w:cs="宋体"/>
          <w:color w:val="000000" w:themeColor="text1"/>
          <w:shd w:val="clear" w:color="auto" w:fill="FFFFFF"/>
          <w14:textFill>
            <w14:solidFill>
              <w14:schemeClr w14:val="tx1"/>
            </w14:solidFill>
          </w14:textFill>
        </w:rPr>
        <w:br w:type="page"/>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jc w:val="center"/>
        <w:rPr>
          <w:rFonts w:ascii="宋体" w:hAnsi="宋体" w:cs="宋体"/>
          <w:color w:val="000000" w:themeColor="text1"/>
          <w:sz w:val="72"/>
          <w:szCs w:val="72"/>
          <w14:textFill>
            <w14:solidFill>
              <w14:schemeClr w14:val="tx1"/>
            </w14:solidFill>
          </w14:textFill>
        </w:rPr>
      </w:pPr>
      <w:r>
        <w:rPr>
          <w:rStyle w:val="24"/>
          <w:rFonts w:hint="eastAsia" w:ascii="宋体" w:hAnsi="宋体" w:cs="宋体"/>
          <w:color w:val="000000" w:themeColor="text1"/>
          <w:sz w:val="72"/>
          <w:szCs w:val="72"/>
          <w:shd w:val="clear" w:color="auto" w:fill="FFFFFF"/>
          <w14:textFill>
            <w14:solidFill>
              <w14:schemeClr w14:val="tx1"/>
            </w14:solidFill>
          </w14:textFill>
        </w:rPr>
        <w:t>竞争性磋商采购项目</w:t>
      </w:r>
    </w:p>
    <w:p>
      <w:pPr>
        <w:pStyle w:val="18"/>
        <w:widowControl/>
        <w:adjustRightInd w:val="0"/>
        <w:spacing w:before="75" w:beforeAutospacing="0" w:after="75" w:afterAutospacing="0"/>
        <w:jc w:val="center"/>
        <w:rPr>
          <w:rStyle w:val="24"/>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jc w:val="center"/>
        <w:rPr>
          <w:rStyle w:val="24"/>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jc w:val="center"/>
        <w:rPr>
          <w:rStyle w:val="24"/>
          <w:rFonts w:ascii="宋体" w:hAnsi="宋体" w:cs="宋体"/>
          <w:color w:val="000000" w:themeColor="text1"/>
          <w:sz w:val="52"/>
          <w:szCs w:val="52"/>
          <w:shd w:val="clear" w:color="auto" w:fill="FFFFFF"/>
          <w14:textFill>
            <w14:solidFill>
              <w14:schemeClr w14:val="tx1"/>
            </w14:solidFill>
          </w14:textFill>
        </w:rPr>
      </w:pPr>
      <w:r>
        <w:rPr>
          <w:rStyle w:val="24"/>
          <w:rFonts w:hint="eastAsia" w:ascii="宋体" w:hAnsi="宋体" w:cs="宋体"/>
          <w:color w:val="000000" w:themeColor="text1"/>
          <w:sz w:val="52"/>
          <w:szCs w:val="52"/>
          <w:shd w:val="clear" w:color="auto" w:fill="FFFFFF"/>
          <w14:textFill>
            <w14:solidFill>
              <w14:schemeClr w14:val="tx1"/>
            </w14:solidFill>
          </w14:textFill>
        </w:rPr>
        <w:t>响应文件</w:t>
      </w:r>
    </w:p>
    <w:p>
      <w:pPr>
        <w:pStyle w:val="18"/>
        <w:widowControl/>
        <w:adjustRightInd w:val="0"/>
        <w:spacing w:before="75" w:beforeAutospacing="0" w:after="75" w:afterAutospacing="0"/>
        <w:jc w:val="center"/>
        <w:rPr>
          <w:rFonts w:ascii="宋体" w:hAnsi="宋体" w:cs="宋体"/>
          <w:color w:val="000000" w:themeColor="text1"/>
          <w:sz w:val="52"/>
          <w:szCs w:val="52"/>
          <w14:textFill>
            <w14:solidFill>
              <w14:schemeClr w14:val="tx1"/>
            </w14:solidFill>
          </w14:textFill>
        </w:rPr>
      </w:pPr>
      <w:r>
        <w:rPr>
          <w:rStyle w:val="24"/>
          <w:rFonts w:hint="eastAsia" w:ascii="宋体" w:hAnsi="宋体" w:cs="宋体"/>
          <w:color w:val="000000" w:themeColor="text1"/>
          <w:sz w:val="52"/>
          <w:szCs w:val="52"/>
          <w:shd w:val="clear" w:color="auto" w:fill="FFFFFF"/>
          <w14:textFill>
            <w14:solidFill>
              <w14:schemeClr w14:val="tx1"/>
            </w14:solidFill>
          </w14:textFill>
        </w:rPr>
        <w:t>(首次)</w:t>
      </w:r>
    </w:p>
    <w:p>
      <w:pPr>
        <w:pStyle w:val="18"/>
        <w:widowControl/>
        <w:adjustRightInd w:val="0"/>
        <w:spacing w:before="75" w:beforeAutospacing="0" w:after="75" w:afterAutospacing="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ind w:firstLine="126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项目名称：</w:t>
      </w:r>
      <w:r>
        <w:rPr>
          <w:rStyle w:val="24"/>
          <w:rFonts w:hint="eastAsia" w:ascii="宋体" w:hAnsi="宋体" w:cs="宋体"/>
          <w:color w:val="000000" w:themeColor="text1"/>
          <w:u w:val="single"/>
          <w:shd w:val="clear" w:color="auto" w:fill="FFFFFF"/>
          <w14:textFill>
            <w14:solidFill>
              <w14:schemeClr w14:val="tx1"/>
            </w14:solidFill>
          </w14:textFill>
        </w:rPr>
        <w:t>               </w:t>
      </w:r>
    </w:p>
    <w:p>
      <w:pPr>
        <w:pStyle w:val="18"/>
        <w:widowControl/>
        <w:adjustRightInd w:val="0"/>
        <w:spacing w:before="75" w:beforeAutospacing="0" w:after="75" w:afterAutospacing="0"/>
        <w:ind w:firstLine="126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项目编号：</w:t>
      </w:r>
      <w:r>
        <w:rPr>
          <w:rStyle w:val="24"/>
          <w:rFonts w:hint="eastAsia" w:ascii="宋体" w:hAnsi="宋体" w:cs="宋体"/>
          <w:color w:val="000000" w:themeColor="text1"/>
          <w:u w:val="single"/>
          <w:shd w:val="clear" w:color="auto" w:fill="FFFFFF"/>
          <w14:textFill>
            <w14:solidFill>
              <w14:schemeClr w14:val="tx1"/>
            </w14:solidFill>
          </w14:textFill>
        </w:rPr>
        <w:t>                    </w:t>
      </w:r>
    </w:p>
    <w:p>
      <w:pPr>
        <w:pStyle w:val="18"/>
        <w:widowControl/>
        <w:adjustRightInd w:val="0"/>
        <w:spacing w:before="75" w:beforeAutospacing="0" w:after="75" w:afterAutospacing="0"/>
        <w:ind w:firstLine="126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合同包: </w:t>
      </w:r>
      <w:r>
        <w:rPr>
          <w:rStyle w:val="24"/>
          <w:rFonts w:hint="eastAsia" w:ascii="宋体" w:hAnsi="宋体" w:cs="宋体"/>
          <w:color w:val="000000" w:themeColor="text1"/>
          <w:u w:val="single"/>
          <w:shd w:val="clear" w:color="auto" w:fill="FFFFFF"/>
          <w14:textFill>
            <w14:solidFill>
              <w14:schemeClr w14:val="tx1"/>
            </w14:solidFill>
          </w14:textFill>
        </w:rPr>
        <w:t>                    </w:t>
      </w:r>
    </w:p>
    <w:p>
      <w:pPr>
        <w:pStyle w:val="18"/>
        <w:widowControl/>
        <w:adjustRightInd w:val="0"/>
        <w:spacing w:before="75" w:beforeAutospacing="0" w:after="75" w:afterAutospacing="0"/>
        <w:jc w:val="center"/>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jc w:val="center"/>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jc w:val="center"/>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供应商名称 ：</w:t>
      </w:r>
      <w:r>
        <w:rPr>
          <w:rStyle w:val="24"/>
          <w:rFonts w:hint="eastAsia" w:ascii="宋体" w:hAnsi="宋体" w:cs="宋体"/>
          <w:color w:val="000000" w:themeColor="text1"/>
          <w:u w:val="single"/>
          <w:shd w:val="clear" w:color="auto" w:fill="FFFFFF"/>
          <w14:textFill>
            <w14:solidFill>
              <w14:schemeClr w14:val="tx1"/>
            </w14:solidFill>
          </w14:textFill>
        </w:rPr>
        <w:t>               </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日   期 ：</w:t>
      </w:r>
      <w:r>
        <w:rPr>
          <w:rStyle w:val="24"/>
          <w:rFonts w:hint="eastAsia" w:ascii="宋体" w:hAnsi="宋体" w:cs="宋体"/>
          <w:color w:val="000000" w:themeColor="text1"/>
          <w:u w:val="single"/>
          <w:shd w:val="clear" w:color="auto" w:fill="FFFFFF"/>
          <w14:textFill>
            <w14:solidFill>
              <w14:schemeClr w14:val="tx1"/>
            </w14:solidFill>
          </w14:textFill>
        </w:rPr>
        <w:t>               </w:t>
      </w:r>
    </w:p>
    <w:p>
      <w:pPr>
        <w:pStyle w:val="18"/>
        <w:widowControl/>
        <w:adjustRightInd w:val="0"/>
        <w:spacing w:before="75" w:beforeAutospacing="0" w:after="75" w:afterAutospacing="0"/>
        <w:jc w:val="center"/>
        <w:rPr>
          <w:rStyle w:val="24"/>
          <w:rFonts w:ascii="宋体" w:hAnsi="宋体" w:cs="宋体"/>
          <w:color w:val="000000" w:themeColor="text1"/>
          <w:u w:val="single"/>
          <w:shd w:val="clear" w:color="auto" w:fill="FFFFFF"/>
          <w14:textFill>
            <w14:solidFill>
              <w14:schemeClr w14:val="tx1"/>
            </w14:solidFill>
          </w14:textFill>
        </w:rPr>
      </w:pPr>
    </w:p>
    <w:p>
      <w:pPr>
        <w:widowControl/>
        <w:adjustRightInd w:val="0"/>
        <w:jc w:val="left"/>
        <w:rPr>
          <w:rStyle w:val="24"/>
          <w:rFonts w:ascii="宋体" w:hAnsi="宋体" w:cs="宋体"/>
          <w:color w:val="000000" w:themeColor="text1"/>
          <w:kern w:val="0"/>
          <w:sz w:val="24"/>
          <w:u w:val="single"/>
          <w:shd w:val="clear" w:color="auto" w:fill="FFFFFF"/>
          <w14:textFill>
            <w14:solidFill>
              <w14:schemeClr w14:val="tx1"/>
            </w14:solidFill>
          </w14:textFill>
        </w:rPr>
      </w:pPr>
      <w:r>
        <w:rPr>
          <w:rStyle w:val="24"/>
          <w:rFonts w:ascii="宋体" w:hAnsi="宋体" w:cs="宋体"/>
          <w:color w:val="000000" w:themeColor="text1"/>
          <w:u w:val="single"/>
          <w:shd w:val="clear" w:color="auto" w:fill="FFFFFF"/>
          <w14:textFill>
            <w14:solidFill>
              <w14:schemeClr w14:val="tx1"/>
            </w14:solidFill>
          </w14:textFill>
        </w:rPr>
        <w:br w:type="page"/>
      </w:r>
    </w:p>
    <w:p>
      <w:pPr>
        <w:pStyle w:val="18"/>
        <w:widowControl/>
        <w:adjustRightInd w:val="0"/>
        <w:spacing w:before="75" w:beforeAutospacing="0" w:after="75" w:afterAutospacing="0"/>
        <w:jc w:val="center"/>
        <w:rPr>
          <w:rStyle w:val="24"/>
          <w:rFonts w:ascii="宋体" w:hAnsi="宋体" w:cs="宋体"/>
          <w:color w:val="000000" w:themeColor="text1"/>
          <w:u w:val="single"/>
          <w:shd w:val="clear" w:color="auto" w:fill="FFFFFF"/>
          <w14:textFill>
            <w14:solidFill>
              <w14:schemeClr w14:val="tx1"/>
            </w14:solidFill>
          </w14:textFill>
        </w:rPr>
      </w:pPr>
    </w:p>
    <w:p>
      <w:pPr>
        <w:pStyle w:val="18"/>
        <w:widowControl/>
        <w:adjustRightInd w:val="0"/>
        <w:spacing w:before="75" w:beforeAutospacing="0" w:after="75" w:afterAutospacing="0"/>
        <w:jc w:val="center"/>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目  录</w:t>
      </w: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附件1：响应声明</w:t>
      </w: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附件2：报价一览表</w:t>
      </w: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附件3：资格证明文件</w:t>
      </w:r>
    </w:p>
    <w:p>
      <w:pPr>
        <w:pStyle w:val="18"/>
        <w:widowControl/>
        <w:adjustRightInd w:val="0"/>
        <w:spacing w:before="75" w:beforeAutospacing="0" w:after="75" w:afterAutospacing="0" w:line="465" w:lineRule="atLeas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附件4：磋商保证金凭证</w:t>
      </w:r>
    </w:p>
    <w:p>
      <w:pPr>
        <w:pStyle w:val="18"/>
        <w:widowControl/>
        <w:adjustRightInd w:val="0"/>
        <w:snapToGrid w:val="0"/>
        <w:spacing w:beforeAutospacing="0" w:afterAutospacing="0" w:line="500" w:lineRule="exac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附件5：技术商务部分评审内容对应表</w:t>
      </w: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附件6：技术和商务响应表</w:t>
      </w: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附件7：相关技术、商务、服务响应承诺及资料</w:t>
      </w: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附件8：供应商提交的其他资料</w:t>
      </w: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附件9：退还磋商保证金函</w:t>
      </w: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240" w:afterAutospacing="0" w:line="49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240" w:afterAutospacing="0" w:line="49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240" w:afterAutospacing="0" w:line="49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240" w:afterAutospacing="0" w:line="49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240" w:afterAutospacing="0" w:line="49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240" w:afterAutospacing="0" w:line="49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240" w:afterAutospacing="0" w:line="49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240" w:afterAutospacing="0" w:line="49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240" w:afterAutospacing="0" w:line="49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9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9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xml:space="preserve">附件1            </w:t>
      </w:r>
      <w:r>
        <w:rPr>
          <w:rStyle w:val="24"/>
          <w:rFonts w:hint="eastAsia" w:ascii="宋体" w:hAnsi="宋体" w:cs="宋体"/>
          <w:color w:val="000000" w:themeColor="text1"/>
          <w:shd w:val="clear" w:color="auto" w:fill="FFFFFF"/>
          <w14:textFill>
            <w14:solidFill>
              <w14:schemeClr w14:val="tx1"/>
            </w14:solidFill>
          </w14:textFill>
        </w:rPr>
        <w:t>磋商响应声明</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致：</w:t>
      </w:r>
      <w:r>
        <w:rPr>
          <w:rFonts w:hint="eastAsia" w:ascii="宋体" w:hAnsi="宋体" w:cs="宋体"/>
          <w:color w:val="000000" w:themeColor="text1"/>
          <w:u w:val="single"/>
          <w:shd w:val="clear" w:color="auto" w:fill="FFFFFF"/>
          <w14:textFill>
            <w14:solidFill>
              <w14:schemeClr w14:val="tx1"/>
            </w14:solidFill>
          </w14:textFill>
        </w:rPr>
        <w:t>     (采购人或采购代理机构)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1.根据贵方为</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项目(项目编号:</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)的采购公告(或采购邀请书)，我方签字代表</w:t>
      </w:r>
      <w:r>
        <w:rPr>
          <w:rFonts w:hint="eastAsia" w:ascii="宋体" w:hAnsi="宋体" w:cs="宋体"/>
          <w:color w:val="000000" w:themeColor="text1"/>
          <w:u w:val="single"/>
          <w:shd w:val="clear" w:color="auto" w:fill="FFFFFF"/>
          <w14:textFill>
            <w14:solidFill>
              <w14:schemeClr w14:val="tx1"/>
            </w14:solidFill>
          </w14:textFill>
        </w:rPr>
        <w:t>      (全名、职务)   </w:t>
      </w:r>
      <w:r>
        <w:rPr>
          <w:rFonts w:hint="eastAsia" w:ascii="宋体" w:hAnsi="宋体" w:cs="宋体"/>
          <w:color w:val="000000" w:themeColor="text1"/>
          <w:shd w:val="clear" w:color="auto" w:fill="FFFFFF"/>
          <w14:textFill>
            <w14:solidFill>
              <w14:schemeClr w14:val="tx1"/>
            </w14:solidFill>
          </w14:textFill>
        </w:rPr>
        <w:t>经正式授权并代表的供应商</w:t>
      </w:r>
      <w:r>
        <w:rPr>
          <w:rFonts w:hint="eastAsia" w:ascii="宋体" w:hAnsi="宋体" w:cs="宋体"/>
          <w:color w:val="000000" w:themeColor="text1"/>
          <w:u w:val="single"/>
          <w:shd w:val="clear" w:color="auto" w:fill="FFFFFF"/>
          <w14:textFill>
            <w14:solidFill>
              <w14:schemeClr w14:val="tx1"/>
            </w14:solidFill>
          </w14:textFill>
        </w:rPr>
        <w:t>          (供应商名称、地址)    </w:t>
      </w:r>
      <w:r>
        <w:rPr>
          <w:rFonts w:hint="eastAsia" w:ascii="宋体" w:hAnsi="宋体" w:cs="宋体"/>
          <w:color w:val="000000" w:themeColor="text1"/>
          <w:shd w:val="clear" w:color="auto" w:fill="FFFFFF"/>
          <w14:textFill>
            <w14:solidFill>
              <w14:schemeClr w14:val="tx1"/>
            </w14:solidFill>
          </w14:textFill>
        </w:rPr>
        <w:t>提交包含下述内容的首次响应文件纸质文本正本</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套，副本</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套及电子文档</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套。</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(1)响应声明</w:t>
      </w:r>
    </w:p>
    <w:p>
      <w:pPr>
        <w:pStyle w:val="18"/>
        <w:widowControl/>
        <w:adjustRightInd w:val="0"/>
        <w:spacing w:before="75" w:beforeAutospacing="0" w:after="75" w:afterAutospacing="0" w:line="435" w:lineRule="atLeast"/>
        <w:ind w:firstLine="48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(2)报价一览表</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(3)资格证明文件</w:t>
      </w:r>
    </w:p>
    <w:p>
      <w:pPr>
        <w:pStyle w:val="18"/>
        <w:widowControl/>
        <w:adjustRightInd w:val="0"/>
        <w:spacing w:before="75" w:beforeAutospacing="0" w:after="75" w:afterAutospacing="0" w:line="435" w:lineRule="atLeast"/>
        <w:ind w:firstLine="48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(4)磋商保证金凭证</w:t>
      </w:r>
    </w:p>
    <w:p>
      <w:pPr>
        <w:pStyle w:val="18"/>
        <w:widowControl/>
        <w:adjustRightInd w:val="0"/>
        <w:spacing w:before="75" w:beforeAutospacing="0" w:after="75" w:afterAutospacing="0" w:line="435" w:lineRule="atLeast"/>
        <w:ind w:firstLine="48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(5)技术商务部分评审内容对应表</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(6)技术和商务偏离表</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(7)相关技术、商务、服务响应承诺及资料</w:t>
      </w:r>
    </w:p>
    <w:p>
      <w:pPr>
        <w:pStyle w:val="18"/>
        <w:widowControl/>
        <w:adjustRightInd w:val="0"/>
        <w:spacing w:before="75" w:beforeAutospacing="0" w:after="75" w:afterAutospacing="0" w:line="435" w:lineRule="atLeast"/>
        <w:ind w:firstLine="48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(8)供应商提交的其他资料</w:t>
      </w:r>
    </w:p>
    <w:p>
      <w:pPr>
        <w:pStyle w:val="18"/>
        <w:widowControl/>
        <w:adjustRightInd w:val="0"/>
        <w:spacing w:before="75" w:beforeAutospacing="0" w:after="75" w:afterAutospacing="0" w:line="435" w:lineRule="atLeast"/>
        <w:ind w:firstLine="48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(9)退还磋商保证金函</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2.据此函，我方宣布响应承诺如下：</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2.4我方已经按照磋商文件要求提交磋商保证金。我方如果发生任何竞争性磋商文件中所述不予退还磋商保证金的情况，则我方的磋商保证金将被贵方不予退还，我方对此无异议。</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2.5我方愿意向贵方提供任何与本项目磋商采购有关的数据或资料。若贵方需要，我方愿意提供我方作出的一切承诺的证明材料。</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ind w:firstLine="7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通信地址:</w:t>
      </w:r>
      <w:r>
        <w:rPr>
          <w:rFonts w:hint="eastAsia" w:ascii="宋体" w:hAnsi="宋体" w:cs="宋体"/>
          <w:color w:val="000000" w:themeColor="text1"/>
          <w:u w:val="single"/>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邮编：</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   传真号：</w:t>
      </w:r>
      <w:r>
        <w:rPr>
          <w:rFonts w:hint="eastAsia" w:ascii="宋体" w:hAnsi="宋体" w:cs="宋体"/>
          <w:color w:val="000000" w:themeColor="text1"/>
          <w:u w:val="single"/>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联系电话(固定电话和移动电话)：</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供应商代表电子信箱：</w:t>
      </w:r>
      <w:r>
        <w:rPr>
          <w:rFonts w:hint="eastAsia" w:ascii="宋体" w:hAnsi="宋体" w:cs="宋体"/>
          <w:color w:val="000000" w:themeColor="text1"/>
          <w:u w:val="single"/>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w:t>
      </w:r>
      <w:r>
        <w:rPr>
          <w:rFonts w:hint="eastAsia" w:ascii="宋体" w:hAnsi="宋体" w:cs="宋体"/>
          <w:color w:val="000000" w:themeColor="text1"/>
          <w:u w:val="single"/>
          <w:shd w:val="clear" w:color="auto" w:fill="FFFFFF"/>
          <w14:textFill>
            <w14:solidFill>
              <w14:schemeClr w14:val="tx1"/>
            </w14:solidFill>
          </w14:textFill>
        </w:rPr>
        <w:t>         (全称并加盖公章)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Style w:val="24"/>
          <w:rFonts w:ascii="宋体" w:hAnsi="宋体" w:cs="宋体"/>
          <w:color w:val="000000" w:themeColor="text1"/>
          <w:shd w:val="clear" w:color="auto" w:fill="FFFFFF"/>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Style w:val="24"/>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Style w:val="24"/>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Style w:val="24"/>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hAnsi="宋体" w:cs="宋体"/>
          <w:b/>
          <w:color w:val="000000"/>
          <w:sz w:val="32"/>
          <w:szCs w:val="32"/>
        </w:rPr>
      </w:pPr>
      <w:r>
        <w:rPr>
          <w:rFonts w:hint="eastAsia" w:ascii="宋体" w:hAnsi="宋体" w:cs="宋体"/>
          <w:color w:val="000000" w:themeColor="text1"/>
          <w:shd w:val="clear" w:color="auto" w:fill="FFFFFF"/>
          <w14:textFill>
            <w14:solidFill>
              <w14:schemeClr w14:val="tx1"/>
            </w14:solidFill>
          </w14:textFill>
        </w:rPr>
        <w:t>附件2        </w:t>
      </w:r>
      <w:r>
        <w:rPr>
          <w:rFonts w:hint="eastAsia" w:hAnsi="宋体" w:cs="宋体"/>
          <w:color w:val="000000" w:themeColor="text1"/>
          <w:shd w:val="clear" w:color="auto" w:fill="FFFFFF"/>
          <w14:textFill>
            <w14:solidFill>
              <w14:schemeClr w14:val="tx1"/>
            </w14:solidFill>
          </w14:textFill>
        </w:rPr>
        <w:t xml:space="preserve">   </w:t>
      </w:r>
      <w:r>
        <w:rPr>
          <w:rFonts w:hint="eastAsia" w:hAnsi="宋体" w:cs="宋体"/>
          <w:b/>
          <w:color w:val="000000"/>
          <w:sz w:val="32"/>
          <w:szCs w:val="32"/>
        </w:rPr>
        <w:t>报价一览表</w:t>
      </w:r>
    </w:p>
    <w:p>
      <w:pPr>
        <w:pStyle w:val="18"/>
        <w:widowControl/>
        <w:spacing w:beforeAutospacing="0" w:after="150" w:afterAutospacing="0"/>
        <w:rPr>
          <w:rFonts w:ascii="宋体" w:hAnsi="宋体" w:cs="宋体"/>
          <w:color w:val="000000"/>
        </w:rPr>
      </w:pPr>
      <w:r>
        <w:rPr>
          <w:rFonts w:hint="eastAsia" w:ascii="宋体" w:hAnsi="宋体" w:cs="宋体"/>
          <w:color w:val="000000"/>
          <w:sz w:val="21"/>
          <w:szCs w:val="21"/>
        </w:rPr>
        <w:t> </w:t>
      </w:r>
    </w:p>
    <w:p>
      <w:pPr>
        <w:pStyle w:val="18"/>
        <w:widowControl/>
        <w:spacing w:beforeAutospacing="0" w:after="150" w:afterAutospacing="0"/>
        <w:rPr>
          <w:rFonts w:ascii="宋体" w:hAnsi="宋体" w:cs="宋体"/>
          <w:color w:val="000000"/>
        </w:rPr>
      </w:pPr>
      <w:r>
        <w:rPr>
          <w:rFonts w:hint="eastAsia" w:ascii="宋体" w:hAnsi="宋体" w:cs="宋体"/>
          <w:color w:val="000000"/>
        </w:rPr>
        <w:t>项目编号：</w:t>
      </w:r>
      <w:r>
        <w:rPr>
          <w:rFonts w:hint="eastAsia" w:ascii="宋体" w:hAnsi="宋体" w:cs="宋体"/>
          <w:color w:val="000000"/>
          <w:u w:val="single"/>
        </w:rPr>
        <w:t>              </w:t>
      </w:r>
    </w:p>
    <w:p>
      <w:pPr>
        <w:pStyle w:val="18"/>
        <w:widowControl/>
        <w:spacing w:beforeAutospacing="0" w:after="150" w:afterAutospacing="0"/>
        <w:jc w:val="right"/>
        <w:rPr>
          <w:rFonts w:ascii="宋体" w:hAnsi="宋体" w:cs="宋体"/>
          <w:color w:val="000000"/>
        </w:rPr>
      </w:pPr>
      <w:r>
        <w:rPr>
          <w:rFonts w:hint="eastAsia" w:ascii="宋体" w:hAnsi="宋体" w:cs="宋体"/>
          <w:color w:val="000000"/>
        </w:rPr>
        <w:t xml:space="preserve"> </w:t>
      </w:r>
    </w:p>
    <w:tbl>
      <w:tblPr>
        <w:tblStyle w:val="21"/>
        <w:tblW w:w="876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16"/>
        <w:gridCol w:w="1583"/>
        <w:gridCol w:w="1483"/>
        <w:gridCol w:w="1200"/>
        <w:gridCol w:w="2184"/>
        <w:gridCol w:w="14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3" w:hRule="atLeast"/>
        </w:trPr>
        <w:tc>
          <w:tcPr>
            <w:tcW w:w="91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rPr>
                <w:rFonts w:ascii="宋体" w:hAnsi="宋体" w:cs="宋体"/>
                <w:color w:val="000000"/>
              </w:rPr>
            </w:pPr>
            <w:r>
              <w:rPr>
                <w:rFonts w:hint="eastAsia" w:ascii="宋体" w:hAnsi="宋体"/>
                <w:sz w:val="24"/>
              </w:rPr>
              <w:t>合同包</w:t>
            </w:r>
          </w:p>
        </w:tc>
        <w:tc>
          <w:tcPr>
            <w:tcW w:w="1583" w:type="dxa"/>
            <w:tcBorders>
              <w:top w:val="single" w:color="auto" w:sz="6" w:space="0"/>
              <w:left w:val="single" w:color="auto" w:sz="6" w:space="0"/>
              <w:bottom w:val="single" w:color="auto" w:sz="6" w:space="0"/>
              <w:right w:val="single" w:color="auto" w:sz="4" w:space="0"/>
            </w:tcBorders>
            <w:tcMar>
              <w:top w:w="0" w:type="dxa"/>
              <w:left w:w="105" w:type="dxa"/>
              <w:bottom w:w="0" w:type="dxa"/>
              <w:right w:w="105" w:type="dxa"/>
            </w:tcMar>
            <w:vAlign w:val="center"/>
          </w:tcPr>
          <w:p>
            <w:pPr>
              <w:pStyle w:val="10"/>
              <w:shd w:val="clear" w:color="auto" w:fill="FFFFFF"/>
              <w:spacing w:line="400" w:lineRule="atLeast"/>
              <w:jc w:val="center"/>
              <w:outlineLvl w:val="0"/>
              <w:rPr>
                <w:rFonts w:hAnsi="宋体" w:cs="宋体"/>
                <w:color w:val="000000"/>
              </w:rPr>
            </w:pPr>
            <w:r>
              <w:rPr>
                <w:rFonts w:hint="eastAsia" w:hAnsi="宋体"/>
                <w:sz w:val="24"/>
                <w:szCs w:val="24"/>
              </w:rPr>
              <w:t>采购标的</w:t>
            </w:r>
          </w:p>
        </w:tc>
        <w:tc>
          <w:tcPr>
            <w:tcW w:w="1483"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pStyle w:val="10"/>
              <w:shd w:val="clear" w:color="auto" w:fill="FFFFFF"/>
              <w:spacing w:line="400" w:lineRule="atLeast"/>
              <w:jc w:val="center"/>
              <w:outlineLvl w:val="0"/>
              <w:rPr>
                <w:rFonts w:hAnsi="宋体"/>
                <w:sz w:val="24"/>
              </w:rPr>
            </w:pPr>
            <w:r>
              <w:rPr>
                <w:rFonts w:hint="eastAsia" w:hAnsi="宋体"/>
                <w:sz w:val="24"/>
                <w:szCs w:val="24"/>
              </w:rPr>
              <w:t>入围有效期</w:t>
            </w:r>
          </w:p>
        </w:tc>
        <w:tc>
          <w:tcPr>
            <w:tcW w:w="1200"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pPr>
            <w:r>
              <w:rPr>
                <w:rFonts w:hint="eastAsia" w:ascii="宋体" w:hAnsi="宋体"/>
                <w:sz w:val="24"/>
              </w:rPr>
              <w:t>保证金</w:t>
            </w:r>
          </w:p>
        </w:tc>
        <w:tc>
          <w:tcPr>
            <w:tcW w:w="2184"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rPr>
                <w:rFonts w:ascii="宋体" w:hAnsi="宋体"/>
                <w:sz w:val="24"/>
              </w:rPr>
            </w:pPr>
            <w:r>
              <w:rPr>
                <w:rFonts w:hint="eastAsia" w:ascii="宋体" w:hAnsi="宋体"/>
                <w:sz w:val="24"/>
              </w:rPr>
              <w:t>首次报价（折扣率）</w:t>
            </w:r>
          </w:p>
        </w:tc>
        <w:tc>
          <w:tcPr>
            <w:tcW w:w="14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rPr>
                <w:rFonts w:ascii="宋体" w:hAnsi="宋体"/>
                <w:sz w:val="24"/>
              </w:rPr>
            </w:pPr>
            <w:r>
              <w:rPr>
                <w:rFonts w:hint="eastAsia" w:ascii="宋体" w:hAnsi="宋体"/>
                <w:sz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91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rPr>
                <w:rFonts w:ascii="宋体" w:hAnsi="宋体" w:cs="宋体"/>
                <w:color w:val="000000"/>
                <w:szCs w:val="21"/>
              </w:rPr>
            </w:pPr>
            <w:r>
              <w:rPr>
                <w:rFonts w:hint="eastAsia" w:ascii="宋体" w:hAnsi="宋体"/>
                <w:sz w:val="24"/>
              </w:rPr>
              <w:t>1</w:t>
            </w:r>
          </w:p>
        </w:tc>
        <w:tc>
          <w:tcPr>
            <w:tcW w:w="1583" w:type="dxa"/>
            <w:tcBorders>
              <w:top w:val="single" w:color="auto" w:sz="6" w:space="0"/>
              <w:left w:val="single" w:color="auto" w:sz="6" w:space="0"/>
              <w:bottom w:val="single" w:color="auto" w:sz="6" w:space="0"/>
              <w:right w:val="single" w:color="auto" w:sz="4"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rPr>
                <w:rFonts w:ascii="宋体" w:hAnsi="宋体"/>
                <w:b/>
                <w:bCs/>
                <w:color w:val="000000"/>
                <w:sz w:val="24"/>
              </w:rPr>
            </w:pPr>
            <w:r>
              <w:rPr>
                <w:rFonts w:hint="eastAsia" w:ascii="宋体" w:hAnsi="宋体"/>
                <w:kern w:val="0"/>
                <w:sz w:val="24"/>
              </w:rPr>
              <w:t>天津大学福州国际联合学院2023-2024年招标代理遴选</w:t>
            </w:r>
          </w:p>
        </w:tc>
        <w:tc>
          <w:tcPr>
            <w:tcW w:w="1483"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rPr>
                <w:rFonts w:ascii="宋体" w:hAnsi="宋体"/>
                <w:color w:val="000000"/>
                <w:sz w:val="24"/>
              </w:rPr>
            </w:pPr>
            <w:r>
              <w:rPr>
                <w:rFonts w:hint="eastAsia" w:ascii="宋体" w:hAnsi="宋体"/>
                <w:color w:val="000000"/>
                <w:sz w:val="24"/>
              </w:rPr>
              <w:t>合同签订之日起至2024年12月31日，如遇特殊情况，适当延长或调整服务期限</w:t>
            </w:r>
          </w:p>
        </w:tc>
        <w:tc>
          <w:tcPr>
            <w:tcW w:w="1200"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rPr>
                <w:rFonts w:ascii="宋体" w:hAnsi="宋体"/>
                <w:color w:val="000000"/>
                <w:sz w:val="24"/>
              </w:rPr>
            </w:pPr>
            <w:r>
              <w:rPr>
                <w:rFonts w:hint="eastAsia" w:ascii="宋体" w:hAnsi="宋体"/>
                <w:color w:val="000000"/>
                <w:sz w:val="24"/>
              </w:rPr>
              <w:t>3000</w:t>
            </w:r>
          </w:p>
        </w:tc>
        <w:tc>
          <w:tcPr>
            <w:tcW w:w="2184"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outlineLvl w:val="0"/>
            </w:pPr>
          </w:p>
        </w:tc>
        <w:tc>
          <w:tcPr>
            <w:tcW w:w="14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rPr>
                <w:rFonts w:ascii="宋体" w:hAnsi="宋体"/>
                <w:sz w:val="24"/>
              </w:rPr>
            </w:pPr>
          </w:p>
        </w:tc>
      </w:tr>
    </w:tbl>
    <w:p>
      <w:pPr>
        <w:spacing w:line="360" w:lineRule="auto"/>
        <w:rPr>
          <w:rFonts w:ascii="宋体" w:hAnsi="宋体" w:cs="宋体"/>
          <w:color w:val="000000"/>
          <w:sz w:val="24"/>
        </w:rPr>
      </w:pPr>
      <w:r>
        <w:rPr>
          <w:rFonts w:hint="eastAsia" w:ascii="宋体" w:hAnsi="宋体" w:cs="宋体"/>
          <w:color w:val="000000"/>
          <w:sz w:val="24"/>
        </w:rPr>
        <w:t>注：1.供应商的报价以相关收费标准综合折扣率填写，例如供应商所报</w:t>
      </w:r>
      <w:r>
        <w:rPr>
          <w:rFonts w:hint="eastAsia" w:ascii="宋体" w:hAnsi="宋体"/>
          <w:sz w:val="24"/>
        </w:rPr>
        <w:t>折扣率</w:t>
      </w:r>
      <w:r>
        <w:rPr>
          <w:rFonts w:hint="eastAsia" w:ascii="宋体" w:hAnsi="宋体" w:cs="宋体"/>
          <w:color w:val="000000"/>
          <w:sz w:val="24"/>
        </w:rPr>
        <w:t>为85%（即85折），则其收费标准为下列文件收费标准×（85%）。</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sz w:val="24"/>
        </w:rPr>
        <w:t>2.收费标准参考文件：《国家计委关于印发招标代理服务收费管理暂行办法的通知（计价格〔2002〕1980号）》以及《国家发展改革委办公厅关于招标代理服务收费有关问题的通知（发改办价格〔2003〕857号）》，合同期间如遇政策调整，则按采购人调整后的标准执行。</w:t>
      </w:r>
    </w:p>
    <w:p>
      <w:pPr>
        <w:spacing w:line="360" w:lineRule="auto"/>
        <w:rPr>
          <w:rFonts w:ascii="宋体" w:hAnsi="宋体" w:cs="宋体"/>
          <w:color w:val="000000"/>
          <w:sz w:val="24"/>
        </w:rPr>
      </w:pPr>
    </w:p>
    <w:p>
      <w:pPr>
        <w:pStyle w:val="18"/>
        <w:widowControl/>
        <w:spacing w:beforeAutospacing="0" w:after="150" w:afterAutospacing="0"/>
        <w:rPr>
          <w:rFonts w:ascii="宋体" w:hAnsi="宋体" w:cs="宋体"/>
          <w:color w:val="000000"/>
        </w:rPr>
      </w:pPr>
    </w:p>
    <w:p>
      <w:pPr>
        <w:pStyle w:val="18"/>
        <w:spacing w:beforeAutospacing="0" w:after="150" w:afterAutospacing="0"/>
        <w:ind w:left="-362" w:right="-362" w:firstLine="240" w:firstLineChars="100"/>
        <w:rPr>
          <w:rFonts w:ascii="宋体" w:hAnsi="宋体" w:cs="宋体"/>
        </w:rPr>
      </w:pP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18"/>
        <w:widowControl/>
        <w:adjustRightInd w:val="0"/>
        <w:spacing w:before="75" w:beforeAutospacing="0" w:after="75" w:afterAutospacing="0" w:line="37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375" w:lineRule="atLeas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37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375" w:lineRule="atLeast"/>
        <w:rPr>
          <w:rFonts w:ascii="宋体" w:hAnsi="宋体" w:cs="宋体"/>
          <w:color w:val="000000" w:themeColor="text1"/>
          <w:shd w:val="clear" w:color="auto" w:fill="FFFFFF"/>
          <w14:textFill>
            <w14:solidFill>
              <w14:schemeClr w14:val="tx1"/>
            </w14:solidFill>
          </w14:textFill>
        </w:rPr>
      </w:pPr>
    </w:p>
    <w:p>
      <w:pP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br w:type="page"/>
      </w:r>
    </w:p>
    <w:p>
      <w:pPr>
        <w:pStyle w:val="18"/>
        <w:widowControl/>
        <w:adjustRightInd w:val="0"/>
        <w:spacing w:before="75" w:beforeAutospacing="0" w:after="75" w:afterAutospacing="0"/>
        <w:jc w:val="center"/>
        <w:rPr>
          <w:rFonts w:hAnsi="宋体" w:cs="宋体"/>
          <w:b/>
          <w:color w:val="000000"/>
          <w:sz w:val="32"/>
          <w:szCs w:val="32"/>
        </w:rPr>
      </w:pPr>
      <w:r>
        <w:rPr>
          <w:rFonts w:hint="eastAsia" w:hAnsi="宋体" w:cs="宋体"/>
          <w:b/>
          <w:color w:val="000000"/>
          <w:sz w:val="32"/>
          <w:szCs w:val="32"/>
        </w:rPr>
        <w:t>报价一览表</w:t>
      </w:r>
    </w:p>
    <w:p>
      <w:pPr>
        <w:pStyle w:val="18"/>
        <w:widowControl/>
        <w:spacing w:beforeAutospacing="0" w:after="150" w:afterAutospacing="0"/>
        <w:rPr>
          <w:rFonts w:ascii="宋体" w:hAnsi="宋体" w:cs="宋体"/>
          <w:color w:val="000000"/>
        </w:rPr>
      </w:pPr>
      <w:r>
        <w:rPr>
          <w:rFonts w:hint="eastAsia" w:ascii="宋体" w:hAnsi="宋体" w:cs="宋体"/>
          <w:color w:val="000000"/>
          <w:sz w:val="21"/>
          <w:szCs w:val="21"/>
        </w:rPr>
        <w:t> </w:t>
      </w:r>
    </w:p>
    <w:p>
      <w:pPr>
        <w:pStyle w:val="18"/>
        <w:widowControl/>
        <w:spacing w:beforeAutospacing="0" w:after="150" w:afterAutospacing="0"/>
        <w:rPr>
          <w:rFonts w:ascii="宋体" w:hAnsi="宋体" w:cs="宋体"/>
          <w:color w:val="000000"/>
        </w:rPr>
      </w:pPr>
      <w:r>
        <w:rPr>
          <w:rFonts w:hint="eastAsia" w:ascii="宋体" w:hAnsi="宋体" w:cs="宋体"/>
          <w:color w:val="000000"/>
        </w:rPr>
        <w:t>项目编号：</w:t>
      </w:r>
      <w:r>
        <w:rPr>
          <w:rFonts w:hint="eastAsia" w:ascii="宋体" w:hAnsi="宋体" w:cs="宋体"/>
          <w:color w:val="000000"/>
          <w:u w:val="single"/>
        </w:rPr>
        <w:t>              </w:t>
      </w:r>
    </w:p>
    <w:p>
      <w:pPr>
        <w:pStyle w:val="18"/>
        <w:widowControl/>
        <w:spacing w:beforeAutospacing="0" w:after="150" w:afterAutospacing="0"/>
        <w:jc w:val="right"/>
        <w:rPr>
          <w:rFonts w:ascii="宋体" w:hAnsi="宋体" w:cs="宋体"/>
          <w:color w:val="000000"/>
        </w:rPr>
      </w:pPr>
      <w:r>
        <w:rPr>
          <w:rFonts w:hint="eastAsia" w:ascii="宋体" w:hAnsi="宋体" w:cs="宋体"/>
          <w:color w:val="000000"/>
        </w:rPr>
        <w:t xml:space="preserve"> </w:t>
      </w:r>
    </w:p>
    <w:tbl>
      <w:tblPr>
        <w:tblStyle w:val="21"/>
        <w:tblW w:w="876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16"/>
        <w:gridCol w:w="1583"/>
        <w:gridCol w:w="1483"/>
        <w:gridCol w:w="1200"/>
        <w:gridCol w:w="2184"/>
        <w:gridCol w:w="14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3" w:hRule="atLeast"/>
        </w:trPr>
        <w:tc>
          <w:tcPr>
            <w:tcW w:w="91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rPr>
                <w:rFonts w:ascii="宋体" w:hAnsi="宋体" w:cs="宋体"/>
                <w:color w:val="000000"/>
              </w:rPr>
            </w:pPr>
            <w:r>
              <w:rPr>
                <w:rFonts w:hint="eastAsia" w:ascii="宋体" w:hAnsi="宋体"/>
                <w:sz w:val="24"/>
              </w:rPr>
              <w:t>合同包</w:t>
            </w:r>
          </w:p>
        </w:tc>
        <w:tc>
          <w:tcPr>
            <w:tcW w:w="1583" w:type="dxa"/>
            <w:tcBorders>
              <w:top w:val="single" w:color="auto" w:sz="6" w:space="0"/>
              <w:left w:val="single" w:color="auto" w:sz="6" w:space="0"/>
              <w:bottom w:val="single" w:color="auto" w:sz="6" w:space="0"/>
              <w:right w:val="single" w:color="auto" w:sz="4" w:space="0"/>
            </w:tcBorders>
            <w:tcMar>
              <w:top w:w="0" w:type="dxa"/>
              <w:left w:w="105" w:type="dxa"/>
              <w:bottom w:w="0" w:type="dxa"/>
              <w:right w:w="105" w:type="dxa"/>
            </w:tcMar>
            <w:vAlign w:val="center"/>
          </w:tcPr>
          <w:p>
            <w:pPr>
              <w:pStyle w:val="10"/>
              <w:shd w:val="clear" w:color="auto" w:fill="FFFFFF"/>
              <w:spacing w:line="400" w:lineRule="atLeast"/>
              <w:jc w:val="center"/>
              <w:outlineLvl w:val="0"/>
              <w:rPr>
                <w:rFonts w:hAnsi="宋体" w:cs="宋体"/>
                <w:color w:val="000000"/>
              </w:rPr>
            </w:pPr>
            <w:r>
              <w:rPr>
                <w:rFonts w:hint="eastAsia" w:hAnsi="宋体"/>
                <w:sz w:val="24"/>
                <w:szCs w:val="24"/>
              </w:rPr>
              <w:t>采购标的</w:t>
            </w:r>
          </w:p>
        </w:tc>
        <w:tc>
          <w:tcPr>
            <w:tcW w:w="1483"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pStyle w:val="10"/>
              <w:shd w:val="clear" w:color="auto" w:fill="FFFFFF"/>
              <w:spacing w:line="400" w:lineRule="atLeast"/>
              <w:jc w:val="center"/>
              <w:outlineLvl w:val="0"/>
              <w:rPr>
                <w:rFonts w:hAnsi="宋体"/>
                <w:sz w:val="24"/>
              </w:rPr>
            </w:pPr>
            <w:r>
              <w:rPr>
                <w:rFonts w:hint="eastAsia" w:hAnsi="宋体"/>
                <w:sz w:val="24"/>
                <w:szCs w:val="24"/>
              </w:rPr>
              <w:t>入围有效期</w:t>
            </w:r>
          </w:p>
        </w:tc>
        <w:tc>
          <w:tcPr>
            <w:tcW w:w="1200"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pPr>
            <w:r>
              <w:rPr>
                <w:rFonts w:hint="eastAsia" w:ascii="宋体" w:hAnsi="宋体"/>
                <w:sz w:val="24"/>
              </w:rPr>
              <w:t>保证金</w:t>
            </w:r>
          </w:p>
        </w:tc>
        <w:tc>
          <w:tcPr>
            <w:tcW w:w="2184"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rPr>
                <w:rFonts w:ascii="宋体" w:hAnsi="宋体"/>
                <w:sz w:val="24"/>
              </w:rPr>
            </w:pPr>
            <w:r>
              <w:rPr>
                <w:rFonts w:hint="eastAsia" w:ascii="宋体" w:hAnsi="宋体"/>
                <w:sz w:val="24"/>
              </w:rPr>
              <w:t>最终报价（折扣率）</w:t>
            </w:r>
          </w:p>
        </w:tc>
        <w:tc>
          <w:tcPr>
            <w:tcW w:w="14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rPr>
                <w:rFonts w:ascii="宋体" w:hAnsi="宋体"/>
                <w:sz w:val="24"/>
              </w:rPr>
            </w:pPr>
            <w:r>
              <w:rPr>
                <w:rFonts w:hint="eastAsia" w:ascii="宋体" w:hAnsi="宋体"/>
                <w:sz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91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rPr>
                <w:rFonts w:ascii="宋体" w:hAnsi="宋体" w:cs="宋体"/>
                <w:color w:val="000000"/>
                <w:szCs w:val="21"/>
              </w:rPr>
            </w:pPr>
            <w:r>
              <w:rPr>
                <w:rFonts w:hint="eastAsia" w:ascii="宋体" w:hAnsi="宋体"/>
                <w:sz w:val="24"/>
              </w:rPr>
              <w:t>1</w:t>
            </w:r>
          </w:p>
        </w:tc>
        <w:tc>
          <w:tcPr>
            <w:tcW w:w="1583" w:type="dxa"/>
            <w:tcBorders>
              <w:top w:val="single" w:color="auto" w:sz="6" w:space="0"/>
              <w:left w:val="single" w:color="auto" w:sz="6" w:space="0"/>
              <w:bottom w:val="single" w:color="auto" w:sz="6" w:space="0"/>
              <w:right w:val="single" w:color="auto" w:sz="4"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rPr>
                <w:rFonts w:ascii="宋体" w:hAnsi="宋体"/>
                <w:b/>
                <w:bCs/>
                <w:color w:val="000000"/>
                <w:sz w:val="24"/>
              </w:rPr>
            </w:pPr>
            <w:r>
              <w:rPr>
                <w:rFonts w:hint="eastAsia" w:ascii="宋体" w:hAnsi="宋体"/>
                <w:kern w:val="0"/>
                <w:sz w:val="24"/>
              </w:rPr>
              <w:t>天津大学福州国际联合学院2023-2024年招标代理遴选</w:t>
            </w:r>
          </w:p>
        </w:tc>
        <w:tc>
          <w:tcPr>
            <w:tcW w:w="1483"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rPr>
                <w:rFonts w:ascii="宋体" w:hAnsi="宋体"/>
                <w:color w:val="000000"/>
                <w:sz w:val="24"/>
              </w:rPr>
            </w:pPr>
            <w:r>
              <w:rPr>
                <w:rFonts w:hint="eastAsia" w:ascii="宋体" w:hAnsi="宋体"/>
                <w:color w:val="000000"/>
                <w:sz w:val="24"/>
              </w:rPr>
              <w:t>合同签订之日起至2024年12月31日，如遇特殊情况，适当延长或调整服务期限</w:t>
            </w:r>
          </w:p>
        </w:tc>
        <w:tc>
          <w:tcPr>
            <w:tcW w:w="1200"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rPr>
                <w:rFonts w:ascii="宋体" w:hAnsi="宋体"/>
                <w:color w:val="000000"/>
                <w:sz w:val="24"/>
              </w:rPr>
            </w:pPr>
            <w:r>
              <w:rPr>
                <w:rFonts w:hint="eastAsia" w:ascii="宋体" w:hAnsi="宋体"/>
                <w:color w:val="000000"/>
                <w:sz w:val="24"/>
              </w:rPr>
              <w:t>3000</w:t>
            </w:r>
          </w:p>
        </w:tc>
        <w:tc>
          <w:tcPr>
            <w:tcW w:w="2184"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outlineLvl w:val="0"/>
            </w:pPr>
          </w:p>
        </w:tc>
        <w:tc>
          <w:tcPr>
            <w:tcW w:w="14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hd w:val="clear" w:color="auto" w:fill="FFFFFF"/>
              <w:tabs>
                <w:tab w:val="center" w:pos="4500"/>
                <w:tab w:val="left" w:pos="7050"/>
              </w:tabs>
              <w:spacing w:line="400" w:lineRule="atLeast"/>
              <w:jc w:val="center"/>
              <w:outlineLvl w:val="0"/>
              <w:rPr>
                <w:rFonts w:ascii="宋体" w:hAnsi="宋体"/>
                <w:sz w:val="24"/>
              </w:rPr>
            </w:pPr>
          </w:p>
        </w:tc>
      </w:tr>
    </w:tbl>
    <w:p>
      <w:pPr>
        <w:spacing w:line="360" w:lineRule="auto"/>
        <w:rPr>
          <w:rFonts w:ascii="宋体" w:hAnsi="宋体" w:cs="宋体"/>
          <w:color w:val="000000"/>
          <w:sz w:val="24"/>
        </w:rPr>
      </w:pPr>
      <w:r>
        <w:rPr>
          <w:rFonts w:hint="eastAsia" w:ascii="宋体" w:hAnsi="宋体" w:cs="宋体"/>
          <w:color w:val="000000"/>
          <w:sz w:val="24"/>
        </w:rPr>
        <w:t>注：1.供应商的报价以相关收费标准综合折扣率填写，例如供应商所报</w:t>
      </w:r>
      <w:r>
        <w:rPr>
          <w:rFonts w:hint="eastAsia" w:ascii="宋体" w:hAnsi="宋体"/>
          <w:sz w:val="24"/>
        </w:rPr>
        <w:t>折扣率</w:t>
      </w:r>
      <w:r>
        <w:rPr>
          <w:rFonts w:hint="eastAsia" w:ascii="宋体" w:hAnsi="宋体" w:cs="宋体"/>
          <w:color w:val="000000"/>
          <w:sz w:val="24"/>
        </w:rPr>
        <w:t>为85%（即85折），则其收费标准为下列文件收费标准×（85%）。</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sz w:val="24"/>
        </w:rPr>
        <w:t>2.收费标准参考文件：《国家计委关于印发招标代理服务收费管理暂行办法的通知（计价格〔2002〕1980号）》以及《国家发展改革委办公厅关于招标代理服务收费有关问题的通知（发改办价格〔2003〕857号）》，合同期间如遇政策调整，则按采购人调整后的标准执行。</w:t>
      </w:r>
    </w:p>
    <w:p>
      <w:pPr>
        <w:spacing w:line="360" w:lineRule="auto"/>
        <w:rPr>
          <w:rFonts w:ascii="宋体" w:hAnsi="宋体" w:cs="宋体"/>
          <w:color w:val="000000"/>
          <w:sz w:val="24"/>
        </w:rPr>
      </w:pPr>
    </w:p>
    <w:p>
      <w:pPr>
        <w:pStyle w:val="18"/>
        <w:widowControl/>
        <w:spacing w:beforeAutospacing="0" w:after="150" w:afterAutospacing="0"/>
        <w:rPr>
          <w:rFonts w:ascii="宋体" w:hAnsi="宋体" w:cs="宋体"/>
          <w:color w:val="000000"/>
        </w:rPr>
      </w:pPr>
    </w:p>
    <w:p>
      <w:pPr>
        <w:pStyle w:val="18"/>
        <w:spacing w:beforeAutospacing="0" w:after="150" w:afterAutospacing="0"/>
        <w:ind w:left="-362" w:right="-362" w:firstLine="240" w:firstLineChars="100"/>
        <w:rPr>
          <w:rFonts w:ascii="宋体" w:hAnsi="宋体" w:cs="宋体"/>
        </w:rPr>
      </w:pP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spacing w:line="340" w:lineRule="exact"/>
        <w:rPr>
          <w:rFonts w:ascii="宋体" w:hAnsi="宋体" w:cs="宋体"/>
          <w:b/>
          <w:sz w:val="24"/>
          <w:szCs w:val="22"/>
        </w:rPr>
      </w:pPr>
    </w:p>
    <w:p>
      <w:pPr>
        <w:spacing w:line="340" w:lineRule="exact"/>
        <w:rPr>
          <w:rFonts w:ascii="宋体" w:hAnsi="宋体" w:cs="宋体"/>
          <w:b/>
          <w:sz w:val="24"/>
          <w:szCs w:val="22"/>
        </w:rPr>
      </w:pPr>
    </w:p>
    <w:p>
      <w:pPr>
        <w:spacing w:line="340" w:lineRule="exact"/>
        <w:rPr>
          <w:rFonts w:ascii="宋体" w:hAnsi="宋体" w:cs="宋体"/>
          <w:sz w:val="32"/>
          <w:szCs w:val="28"/>
        </w:rPr>
      </w:pPr>
      <w:r>
        <w:rPr>
          <w:rFonts w:hint="eastAsia" w:ascii="宋体" w:hAnsi="宋体" w:cs="宋体"/>
          <w:b/>
          <w:sz w:val="32"/>
          <w:szCs w:val="28"/>
        </w:rPr>
        <w:t>注：此表无需装订在本响应文件里，可多打印几份，盖好公章。</w:t>
      </w:r>
    </w:p>
    <w:p>
      <w:pPr>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xml:space="preserve">附件3              </w:t>
      </w:r>
      <w:r>
        <w:rPr>
          <w:rStyle w:val="24"/>
          <w:rFonts w:hint="eastAsia" w:ascii="宋体" w:hAnsi="宋体" w:cs="宋体"/>
          <w:color w:val="000000" w:themeColor="text1"/>
          <w:shd w:val="clear" w:color="auto" w:fill="FFFFFF"/>
          <w14:textFill>
            <w14:solidFill>
              <w14:schemeClr w14:val="tx1"/>
            </w14:solidFill>
          </w14:textFill>
        </w:rPr>
        <w:t>资格证明文件</w:t>
      </w: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xml:space="preserve">附件3-1         </w:t>
      </w:r>
      <w:r>
        <w:rPr>
          <w:rStyle w:val="24"/>
          <w:rFonts w:hint="eastAsia" w:ascii="宋体" w:hAnsi="宋体" w:cs="宋体"/>
          <w:color w:val="000000" w:themeColor="text1"/>
          <w:shd w:val="clear" w:color="auto" w:fill="FFFFFF"/>
          <w14:textFill>
            <w14:solidFill>
              <w14:schemeClr w14:val="tx1"/>
            </w14:solidFill>
          </w14:textFill>
        </w:rPr>
        <w:t>参加竞争性磋商的声明函</w:t>
      </w: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致：</w:t>
      </w:r>
      <w:r>
        <w:rPr>
          <w:rFonts w:hint="eastAsia" w:ascii="宋体" w:hAnsi="宋体" w:cs="宋体"/>
          <w:color w:val="000000" w:themeColor="text1"/>
          <w:u w:val="single"/>
          <w:shd w:val="clear" w:color="auto" w:fill="FFFFFF"/>
          <w14:textFill>
            <w14:solidFill>
              <w14:schemeClr w14:val="tx1"/>
            </w14:solidFill>
          </w14:textFill>
        </w:rPr>
        <w:t>  (采购人或采购代理机构)       </w:t>
      </w: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1、关于贵方______年______月______日</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项目(项目编号:</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360" w:lineRule="atLeas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2、供应商的基本概况：</w:t>
      </w:r>
    </w:p>
    <w:p>
      <w:pPr>
        <w:pStyle w:val="18"/>
        <w:widowControl/>
        <w:adjustRightInd w:val="0"/>
        <w:spacing w:before="75" w:beforeAutospacing="0" w:after="75" w:afterAutospacing="0" w:line="360" w:lineRule="atLeast"/>
        <w:rPr>
          <w:rFonts w:ascii="宋体" w:hAnsi="宋体" w:cs="宋体"/>
          <w:color w:val="000000" w:themeColor="text1"/>
          <w:u w:val="single"/>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2.1供应商单位名称：</w:t>
      </w:r>
      <w:r>
        <w:rPr>
          <w:rFonts w:hint="eastAsia" w:ascii="宋体" w:hAnsi="宋体" w:cs="宋体"/>
          <w:color w:val="000000" w:themeColor="text1"/>
          <w:u w:val="single"/>
          <w:shd w:val="clear" w:color="auto" w:fill="FFFFFF"/>
          <w14:textFill>
            <w14:solidFill>
              <w14:schemeClr w14:val="tx1"/>
            </w14:solidFill>
          </w14:textFill>
        </w:rPr>
        <w:t>              </w:t>
      </w:r>
    </w:p>
    <w:p>
      <w:pPr>
        <w:pStyle w:val="18"/>
        <w:widowControl/>
        <w:adjustRightInd w:val="0"/>
        <w:spacing w:before="75" w:beforeAutospacing="0" w:after="75" w:afterAutospacing="0" w:line="360" w:lineRule="atLeast"/>
        <w:rPr>
          <w:rFonts w:ascii="宋体" w:hAnsi="宋体" w:cs="宋体"/>
          <w:color w:val="000000" w:themeColor="text1"/>
          <w:u w:val="single"/>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2.2注册地址：</w:t>
      </w:r>
      <w:r>
        <w:rPr>
          <w:rFonts w:hint="eastAsia" w:ascii="宋体" w:hAnsi="宋体" w:cs="宋体"/>
          <w:color w:val="000000" w:themeColor="text1"/>
          <w:u w:val="single"/>
          <w:shd w:val="clear" w:color="auto" w:fill="FFFFFF"/>
          <w14:textFill>
            <w14:solidFill>
              <w14:schemeClr w14:val="tx1"/>
            </w14:solidFill>
          </w14:textFill>
        </w:rPr>
        <w:t>                             </w:t>
      </w:r>
    </w:p>
    <w:p>
      <w:pPr>
        <w:pStyle w:val="18"/>
        <w:widowControl/>
        <w:adjustRightInd w:val="0"/>
        <w:spacing w:before="75" w:beforeAutospacing="0" w:after="75" w:afterAutospacing="0" w:line="36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2.3单位负责人姓名：</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性别：</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年龄：</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职务：</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备注：“单位负责人”指单位法定代表人(供应商为法人的)或法律、法规规定代表单位行使职权的主要负责人(供应商为其他组织的)。</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对于接受联合体形式的磋商且供应商是联合体的，则联合体各成员都应当提交本资格证明文件。</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375" w:lineRule="atLeas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37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37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37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37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37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xml:space="preserve">附件3-2           </w:t>
      </w:r>
      <w:r>
        <w:rPr>
          <w:rStyle w:val="24"/>
          <w:rFonts w:hint="eastAsia" w:ascii="宋体" w:hAnsi="宋体" w:cs="宋体"/>
          <w:color w:val="000000" w:themeColor="text1"/>
          <w:shd w:val="clear" w:color="auto" w:fill="FFFFFF"/>
          <w14:textFill>
            <w14:solidFill>
              <w14:schemeClr w14:val="tx1"/>
            </w14:solidFill>
          </w14:textFill>
        </w:rPr>
        <w:t>供应商的资格声明</w:t>
      </w: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37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致：</w:t>
      </w:r>
      <w:r>
        <w:rPr>
          <w:rFonts w:hint="eastAsia" w:ascii="宋体" w:hAnsi="宋体" w:cs="宋体"/>
          <w:color w:val="000000" w:themeColor="text1"/>
          <w:u w:val="single"/>
          <w:shd w:val="clear" w:color="auto" w:fill="FFFFFF"/>
          <w14:textFill>
            <w14:solidFill>
              <w14:schemeClr w14:val="tx1"/>
            </w14:solidFill>
          </w14:textFill>
        </w:rPr>
        <w:t>     (采购人或采购代理机构)       </w:t>
      </w:r>
    </w:p>
    <w:p>
      <w:pPr>
        <w:pStyle w:val="18"/>
        <w:widowControl/>
        <w:adjustRightInd w:val="0"/>
        <w:spacing w:before="75" w:beforeAutospacing="0" w:after="75" w:afterAutospacing="0" w:line="375" w:lineRule="atLeast"/>
        <w:jc w:val="both"/>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1、</w:t>
      </w:r>
      <w:r>
        <w:rPr>
          <w:rFonts w:hint="eastAsia" w:ascii="宋体" w:hAnsi="宋体" w:cs="宋体"/>
          <w:color w:val="000000" w:themeColor="text1"/>
          <w:shd w:val="clear" w:color="auto" w:fill="FFFFFF"/>
          <w14:textFill>
            <w14:solidFill>
              <w14:schemeClr w14:val="tx1"/>
            </w14:solidFill>
          </w14:textFill>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21"/>
        <w:tblW w:w="8520" w:type="dxa"/>
        <w:tblInd w:w="-18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5640"/>
        <w:gridCol w:w="288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18"/>
              <w:widowControl/>
              <w:adjustRightInd w:val="0"/>
              <w:spacing w:beforeAutospacing="0" w:afterAutospacing="0" w:line="375" w:lineRule="atLeast"/>
              <w:jc w:val="both"/>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《中华人民共和国政府采购法》第二十二条对供应商的要求</w:t>
            </w:r>
          </w:p>
        </w:tc>
        <w:tc>
          <w:tcPr>
            <w:tcW w:w="2880" w:type="dxa"/>
            <w:tcBorders>
              <w:top w:val="single" w:color="auto" w:sz="6" w:space="0"/>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18"/>
              <w:widowControl/>
              <w:adjustRightInd w:val="0"/>
              <w:spacing w:beforeAutospacing="0" w:afterAutospacing="0" w:line="375" w:lineRule="atLeast"/>
              <w:jc w:val="both"/>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供应商对是否符合要求做如实声明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18"/>
              <w:widowControl/>
              <w:adjustRightInd w:val="0"/>
              <w:spacing w:beforeAutospacing="0" w:afterAutospacing="0" w:line="37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(1)具有独立承担民事责任的能力</w:t>
            </w:r>
          </w:p>
        </w:tc>
        <w:tc>
          <w:tcPr>
            <w:tcW w:w="288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adjustRightInd w:val="0"/>
              <w:jc w:val="left"/>
              <w:rPr>
                <w:rFonts w:ascii="宋体" w:hAnsi="宋体" w:cs="宋体"/>
                <w:color w:val="000000" w:themeColor="text1"/>
                <w:sz w:val="24"/>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18"/>
              <w:widowControl/>
              <w:adjustRightInd w:val="0"/>
              <w:spacing w:beforeAutospacing="0" w:afterAutospacing="0" w:line="37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(2)具有良好的商业信誉和健全的财务会计制度</w:t>
            </w:r>
          </w:p>
        </w:tc>
        <w:tc>
          <w:tcPr>
            <w:tcW w:w="288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adjustRightInd w:val="0"/>
              <w:jc w:val="left"/>
              <w:rPr>
                <w:rFonts w:ascii="宋体" w:hAnsi="宋体" w:cs="宋体"/>
                <w:color w:val="000000" w:themeColor="text1"/>
                <w:sz w:val="24"/>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18"/>
              <w:widowControl/>
              <w:adjustRightInd w:val="0"/>
              <w:spacing w:beforeAutospacing="0" w:afterAutospacing="0" w:line="37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(3)具有履行合同所必需的设备和专业技术能力</w:t>
            </w:r>
          </w:p>
        </w:tc>
        <w:tc>
          <w:tcPr>
            <w:tcW w:w="288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adjustRightInd w:val="0"/>
              <w:jc w:val="left"/>
              <w:rPr>
                <w:rFonts w:ascii="宋体" w:hAnsi="宋体" w:cs="宋体"/>
                <w:color w:val="000000" w:themeColor="text1"/>
                <w:sz w:val="24"/>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18"/>
              <w:widowControl/>
              <w:adjustRightInd w:val="0"/>
              <w:spacing w:beforeAutospacing="0" w:afterAutospacing="0" w:line="37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(4)有依法缴纳税收和社会保障资金的良好记录</w:t>
            </w:r>
          </w:p>
        </w:tc>
        <w:tc>
          <w:tcPr>
            <w:tcW w:w="288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adjustRightInd w:val="0"/>
              <w:jc w:val="left"/>
              <w:rPr>
                <w:rFonts w:ascii="宋体" w:hAnsi="宋体" w:cs="宋体"/>
                <w:color w:val="000000" w:themeColor="text1"/>
                <w:sz w:val="24"/>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18"/>
              <w:widowControl/>
              <w:adjustRightInd w:val="0"/>
              <w:spacing w:beforeAutospacing="0" w:afterAutospacing="0" w:line="37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(5)参加采购活动前三年内，在经营活动中没有重大违法记录</w:t>
            </w:r>
          </w:p>
        </w:tc>
        <w:tc>
          <w:tcPr>
            <w:tcW w:w="288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adjustRightInd w:val="0"/>
              <w:jc w:val="left"/>
              <w:rPr>
                <w:rFonts w:ascii="宋体" w:hAnsi="宋体" w:cs="宋体"/>
                <w:color w:val="000000" w:themeColor="text1"/>
                <w:sz w:val="24"/>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18"/>
              <w:widowControl/>
              <w:adjustRightInd w:val="0"/>
              <w:spacing w:beforeAutospacing="0" w:afterAutospacing="0" w:line="37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(6)法律、行政法规规定的其他条件。</w:t>
            </w:r>
          </w:p>
        </w:tc>
        <w:tc>
          <w:tcPr>
            <w:tcW w:w="288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adjustRightInd w:val="0"/>
              <w:jc w:val="left"/>
              <w:rPr>
                <w:rFonts w:ascii="宋体" w:hAnsi="宋体" w:cs="宋体"/>
                <w:color w:val="000000" w:themeColor="text1"/>
                <w:sz w:val="24"/>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18"/>
              <w:widowControl/>
              <w:adjustRightInd w:val="0"/>
              <w:spacing w:beforeAutospacing="0" w:afterAutospacing="0" w:line="375" w:lineRule="atLeast"/>
              <w:jc w:val="both"/>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磋商文件对合格供应商的一般规定</w:t>
            </w:r>
          </w:p>
        </w:tc>
        <w:tc>
          <w:tcPr>
            <w:tcW w:w="288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18"/>
              <w:widowControl/>
              <w:adjustRightInd w:val="0"/>
              <w:spacing w:beforeAutospacing="0" w:afterAutospacing="0" w:line="375" w:lineRule="atLeast"/>
              <w:jc w:val="both"/>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供应商对是否违反一般规定做如实声明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18"/>
              <w:widowControl/>
              <w:adjustRightInd w:val="0"/>
              <w:spacing w:beforeAutospacing="0" w:afterAutospacing="0" w:line="37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adjustRightInd w:val="0"/>
              <w:jc w:val="left"/>
              <w:rPr>
                <w:rFonts w:ascii="宋体" w:hAnsi="宋体" w:cs="宋体"/>
                <w:color w:val="000000" w:themeColor="text1"/>
                <w:sz w:val="24"/>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18"/>
              <w:widowControl/>
              <w:adjustRightInd w:val="0"/>
              <w:spacing w:beforeAutospacing="0" w:afterAutospacing="0" w:line="37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adjustRightInd w:val="0"/>
              <w:jc w:val="left"/>
              <w:rPr>
                <w:rFonts w:ascii="宋体" w:hAnsi="宋体" w:cs="宋体"/>
                <w:color w:val="000000" w:themeColor="text1"/>
                <w:sz w:val="24"/>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18"/>
              <w:widowControl/>
              <w:adjustRightInd w:val="0"/>
              <w:spacing w:beforeAutospacing="0" w:afterAutospacing="0" w:line="37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列入失信被执行人、重大税收违法案件当事人名单、政府采购严重违法失信行为记录名单的供应商，不得参加政府采购活动。</w:t>
            </w:r>
          </w:p>
        </w:tc>
        <w:tc>
          <w:tcPr>
            <w:tcW w:w="288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adjustRightInd w:val="0"/>
              <w:jc w:val="left"/>
              <w:rPr>
                <w:rFonts w:ascii="宋体" w:hAnsi="宋体" w:cs="宋体"/>
                <w:color w:val="000000" w:themeColor="text1"/>
                <w:sz w:val="24"/>
                <w14:textFill>
                  <w14:solidFill>
                    <w14:schemeClr w14:val="tx1"/>
                  </w14:solidFill>
                </w14:textFill>
              </w:rPr>
            </w:pPr>
          </w:p>
        </w:tc>
      </w:tr>
    </w:tbl>
    <w:p>
      <w:pPr>
        <w:pStyle w:val="18"/>
        <w:widowControl/>
        <w:adjustRightInd w:val="0"/>
        <w:spacing w:before="75" w:beforeAutospacing="0" w:after="75" w:afterAutospacing="0" w:line="375" w:lineRule="atLeast"/>
        <w:ind w:firstLine="48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2、我方对上述声明的真实性、合法性、准确性、有效性负责，并愿意根据磋商文件和磋商过程中贵方要求提供全部现有资料、数据、文件等予以证实。</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备注：对于接受联合体形式的磋商且供应商是联合体的，则联合体各成员都应当提交本资格证明文件。</w:t>
      </w:r>
    </w:p>
    <w:p>
      <w:pPr>
        <w:pStyle w:val="18"/>
        <w:widowControl/>
        <w:adjustRightInd w:val="0"/>
        <w:spacing w:before="75" w:beforeAutospacing="0" w:after="75" w:afterAutospacing="0" w:line="37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37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         </w:t>
      </w:r>
    </w:p>
    <w:p>
      <w:pPr>
        <w:pStyle w:val="18"/>
        <w:widowControl/>
        <w:adjustRightInd w:val="0"/>
        <w:spacing w:before="75" w:beforeAutospacing="0" w:after="75" w:afterAutospacing="0" w:line="37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附件3-3             </w:t>
      </w:r>
      <w:r>
        <w:rPr>
          <w:rStyle w:val="24"/>
          <w:rFonts w:hint="eastAsia" w:ascii="宋体" w:hAnsi="宋体" w:cs="宋体"/>
          <w:color w:val="000000" w:themeColor="text1"/>
          <w:shd w:val="clear" w:color="auto" w:fill="FFFFFF"/>
          <w14:textFill>
            <w14:solidFill>
              <w14:schemeClr w14:val="tx1"/>
            </w14:solidFill>
          </w14:textFill>
        </w:rPr>
        <w:t>单位负责人授权书</w:t>
      </w:r>
    </w:p>
    <w:p>
      <w:pPr>
        <w:pStyle w:val="18"/>
        <w:widowControl/>
        <w:adjustRightInd w:val="0"/>
        <w:spacing w:before="75" w:beforeAutospacing="0" w:after="75" w:afterAutospacing="0" w:line="40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36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致：</w:t>
      </w:r>
      <w:r>
        <w:rPr>
          <w:rFonts w:hint="eastAsia" w:ascii="宋体" w:hAnsi="宋体" w:cs="宋体"/>
          <w:color w:val="000000" w:themeColor="text1"/>
          <w:u w:val="single"/>
          <w:shd w:val="clear" w:color="auto" w:fill="FFFFFF"/>
          <w14:textFill>
            <w14:solidFill>
              <w14:schemeClr w14:val="tx1"/>
            </w14:solidFill>
          </w14:textFill>
        </w:rPr>
        <w:t>     (采购人或采购代理机构)       </w:t>
      </w:r>
    </w:p>
    <w:p>
      <w:pPr>
        <w:pStyle w:val="18"/>
        <w:widowControl/>
        <w:adjustRightInd w:val="0"/>
        <w:spacing w:before="75" w:beforeAutospacing="0" w:after="75" w:afterAutospacing="0" w:line="360"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我方的单位负责人</w:t>
      </w:r>
      <w:r>
        <w:rPr>
          <w:rFonts w:hint="eastAsia" w:ascii="宋体" w:hAnsi="宋体" w:cs="宋体"/>
          <w:color w:val="000000" w:themeColor="text1"/>
          <w:u w:val="single"/>
          <w:shd w:val="clear" w:color="auto" w:fill="FFFFFF"/>
          <w14:textFill>
            <w14:solidFill>
              <w14:schemeClr w14:val="tx1"/>
            </w14:solidFill>
          </w14:textFill>
        </w:rPr>
        <w:t>(填写“单位负责人全名”)</w:t>
      </w:r>
      <w:r>
        <w:rPr>
          <w:rFonts w:hint="eastAsia" w:ascii="宋体" w:hAnsi="宋体" w:cs="宋体"/>
          <w:color w:val="000000" w:themeColor="text1"/>
          <w:shd w:val="clear" w:color="auto" w:fill="FFFFFF"/>
          <w14:textFill>
            <w14:solidFill>
              <w14:schemeClr w14:val="tx1"/>
            </w14:solidFill>
          </w14:textFill>
        </w:rPr>
        <w:t>授权</w:t>
      </w:r>
      <w:r>
        <w:rPr>
          <w:rFonts w:hint="eastAsia" w:ascii="宋体" w:hAnsi="宋体" w:cs="宋体"/>
          <w:color w:val="000000" w:themeColor="text1"/>
          <w:u w:val="single"/>
          <w:shd w:val="clear" w:color="auto" w:fill="FFFFFF"/>
          <w14:textFill>
            <w14:solidFill>
              <w14:schemeClr w14:val="tx1"/>
            </w14:solidFill>
          </w14:textFill>
        </w:rPr>
        <w:t>(填写“供应商代表全名”)</w:t>
      </w:r>
      <w:r>
        <w:rPr>
          <w:rFonts w:hint="eastAsia" w:ascii="宋体" w:hAnsi="宋体" w:cs="宋体"/>
          <w:color w:val="000000" w:themeColor="text1"/>
          <w:shd w:val="clear" w:color="auto" w:fill="FFFFFF"/>
          <w14:textFill>
            <w14:solidFill>
              <w14:schemeClr w14:val="tx1"/>
            </w14:solidFill>
          </w14:textFill>
        </w:rPr>
        <w:t>为我方的供应商代表，代表我方参加</w:t>
      </w:r>
      <w:r>
        <w:rPr>
          <w:rFonts w:hint="eastAsia" w:ascii="宋体" w:hAnsi="宋体" w:cs="宋体"/>
          <w:color w:val="000000" w:themeColor="text1"/>
          <w:u w:val="single"/>
          <w:shd w:val="clear" w:color="auto" w:fill="FFFFFF"/>
          <w14:textFill>
            <w14:solidFill>
              <w14:schemeClr w14:val="tx1"/>
            </w14:solidFill>
          </w14:textFill>
        </w:rPr>
        <w:t>  (填写“项目名称”)   </w:t>
      </w:r>
      <w:r>
        <w:rPr>
          <w:rFonts w:hint="eastAsia" w:ascii="宋体" w:hAnsi="宋体" w:cs="宋体"/>
          <w:color w:val="000000" w:themeColor="text1"/>
          <w:shd w:val="clear" w:color="auto" w:fill="FFFFFF"/>
          <w14:textFill>
            <w14:solidFill>
              <w14:schemeClr w14:val="tx1"/>
            </w14:solidFill>
          </w14:textFill>
        </w:rPr>
        <w:t>项目(项目编号：</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8"/>
        <w:widowControl/>
        <w:adjustRightInd w:val="0"/>
        <w:spacing w:before="75" w:beforeAutospacing="0" w:after="75" w:afterAutospacing="0" w:line="36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供应商代表无转委权。特此授权。</w:t>
      </w:r>
    </w:p>
    <w:p>
      <w:pPr>
        <w:pStyle w:val="18"/>
        <w:widowControl/>
        <w:adjustRightInd w:val="0"/>
        <w:spacing w:before="75" w:beforeAutospacing="0" w:after="75" w:afterAutospacing="0" w:line="360" w:lineRule="atLeas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(以下无正文)</w:t>
      </w:r>
    </w:p>
    <w:p>
      <w:pPr>
        <w:pStyle w:val="18"/>
        <w:widowControl/>
        <w:adjustRightInd w:val="0"/>
        <w:spacing w:before="75" w:beforeAutospacing="0" w:after="75" w:afterAutospacing="0" w:line="360" w:lineRule="atLeast"/>
        <w:rPr>
          <w:rFonts w:ascii="宋体" w:hAnsi="宋体" w:cs="宋体"/>
          <w:color w:val="000000" w:themeColor="text1"/>
          <w:u w:val="single"/>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单位负责人：</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身份证号：</w:t>
      </w:r>
      <w:r>
        <w:rPr>
          <w:rFonts w:hint="eastAsia" w:ascii="宋体" w:hAnsi="宋体" w:cs="宋体"/>
          <w:color w:val="000000" w:themeColor="text1"/>
          <w:u w:val="single"/>
          <w:shd w:val="clear" w:color="auto" w:fill="FFFFFF"/>
          <w14:textFill>
            <w14:solidFill>
              <w14:schemeClr w14:val="tx1"/>
            </w14:solidFill>
          </w14:textFill>
        </w:rPr>
        <w:t>                 </w:t>
      </w:r>
    </w:p>
    <w:p>
      <w:pPr>
        <w:pStyle w:val="18"/>
        <w:widowControl/>
        <w:adjustRightInd w:val="0"/>
        <w:spacing w:before="75" w:beforeAutospacing="0" w:after="75" w:afterAutospacing="0" w:line="36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手机：</w:t>
      </w:r>
      <w:r>
        <w:rPr>
          <w:rFonts w:hint="eastAsia" w:ascii="宋体" w:hAnsi="宋体" w:cs="宋体"/>
          <w:color w:val="000000" w:themeColor="text1"/>
          <w:u w:val="single"/>
          <w:shd w:val="clear" w:color="auto" w:fill="FFFFFF"/>
          <w14:textFill>
            <w14:solidFill>
              <w14:schemeClr w14:val="tx1"/>
            </w14:solidFill>
          </w14:textFill>
        </w:rPr>
        <w:t>       </w:t>
      </w:r>
    </w:p>
    <w:p>
      <w:pPr>
        <w:pStyle w:val="18"/>
        <w:widowControl/>
        <w:adjustRightInd w:val="0"/>
        <w:spacing w:before="75" w:beforeAutospacing="0" w:after="75" w:afterAutospacing="0" w:line="360" w:lineRule="atLeast"/>
        <w:rPr>
          <w:rFonts w:ascii="宋体" w:hAnsi="宋体" w:cs="宋体"/>
          <w:color w:val="000000" w:themeColor="text1"/>
          <w:u w:val="single"/>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身份证号：</w:t>
      </w:r>
      <w:r>
        <w:rPr>
          <w:rFonts w:hint="eastAsia" w:ascii="宋体" w:hAnsi="宋体" w:cs="宋体"/>
          <w:color w:val="000000" w:themeColor="text1"/>
          <w:u w:val="single"/>
          <w:shd w:val="clear" w:color="auto" w:fill="FFFFFF"/>
          <w14:textFill>
            <w14:solidFill>
              <w14:schemeClr w14:val="tx1"/>
            </w14:solidFill>
          </w14:textFill>
        </w:rPr>
        <w:t>                 </w:t>
      </w:r>
    </w:p>
    <w:p>
      <w:pPr>
        <w:pStyle w:val="18"/>
        <w:widowControl/>
        <w:adjustRightInd w:val="0"/>
        <w:spacing w:before="75" w:beforeAutospacing="0" w:after="75" w:afterAutospacing="0" w:line="36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手机：</w:t>
      </w:r>
      <w:r>
        <w:rPr>
          <w:rFonts w:hint="eastAsia" w:ascii="宋体" w:hAnsi="宋体" w:cs="宋体"/>
          <w:color w:val="000000" w:themeColor="text1"/>
          <w:u w:val="single"/>
          <w:shd w:val="clear" w:color="auto" w:fill="FFFFFF"/>
          <w14:textFill>
            <w14:solidFill>
              <w14:schemeClr w14:val="tx1"/>
            </w14:solidFill>
          </w14:textFill>
        </w:rPr>
        <w:t>             </w:t>
      </w:r>
    </w:p>
    <w:p>
      <w:pPr>
        <w:pStyle w:val="18"/>
        <w:widowControl/>
        <w:adjustRightInd w:val="0"/>
        <w:spacing w:before="75" w:beforeAutospacing="0" w:after="75" w:afterAutospacing="0" w:line="36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36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授权方</w:t>
      </w:r>
    </w:p>
    <w:p>
      <w:pPr>
        <w:pStyle w:val="18"/>
        <w:widowControl/>
        <w:adjustRightInd w:val="0"/>
        <w:spacing w:before="75" w:beforeAutospacing="0" w:after="75" w:afterAutospacing="0" w:line="36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w:t>
      </w:r>
      <w:r>
        <w:rPr>
          <w:rFonts w:hint="eastAsia" w:ascii="宋体" w:hAnsi="宋体" w:cs="宋体"/>
          <w:color w:val="000000" w:themeColor="text1"/>
          <w:u w:val="single"/>
          <w:shd w:val="clear" w:color="auto" w:fill="FFFFFF"/>
          <w14:textFill>
            <w14:solidFill>
              <w14:schemeClr w14:val="tx1"/>
            </w14:solidFill>
          </w14:textFill>
        </w:rPr>
        <w:t>(全称并加盖单位公章)</w:t>
      </w:r>
    </w:p>
    <w:p>
      <w:pPr>
        <w:pStyle w:val="18"/>
        <w:widowControl/>
        <w:adjustRightInd w:val="0"/>
        <w:spacing w:before="75" w:beforeAutospacing="0" w:after="75" w:afterAutospacing="0" w:line="36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单位负责人签字或盖章：</w:t>
      </w:r>
      <w:r>
        <w:rPr>
          <w:rFonts w:hint="eastAsia" w:ascii="宋体" w:hAnsi="宋体" w:cs="宋体"/>
          <w:color w:val="000000" w:themeColor="text1"/>
          <w:u w:val="single"/>
          <w:shd w:val="clear" w:color="auto" w:fill="FFFFFF"/>
          <w14:textFill>
            <w14:solidFill>
              <w14:schemeClr w14:val="tx1"/>
            </w14:solidFill>
          </w14:textFill>
        </w:rPr>
        <w:t>                   </w:t>
      </w:r>
    </w:p>
    <w:p>
      <w:pPr>
        <w:pStyle w:val="18"/>
        <w:widowControl/>
        <w:adjustRightInd w:val="0"/>
        <w:spacing w:before="75" w:beforeAutospacing="0" w:after="75" w:afterAutospacing="0" w:line="36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36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接受授权方</w:t>
      </w:r>
    </w:p>
    <w:p>
      <w:pPr>
        <w:pStyle w:val="18"/>
        <w:widowControl/>
        <w:adjustRightInd w:val="0"/>
        <w:spacing w:before="75" w:beforeAutospacing="0" w:after="75" w:afterAutospacing="0" w:line="36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供应商代表签字：</w:t>
      </w:r>
      <w:r>
        <w:rPr>
          <w:rFonts w:hint="eastAsia" w:ascii="宋体" w:hAnsi="宋体" w:cs="宋体"/>
          <w:color w:val="000000" w:themeColor="text1"/>
          <w:u w:val="single"/>
          <w:shd w:val="clear" w:color="auto" w:fill="FFFFFF"/>
          <w14:textFill>
            <w14:solidFill>
              <w14:schemeClr w14:val="tx1"/>
            </w14:solidFill>
          </w14:textFill>
        </w:rPr>
        <w:t>                   </w:t>
      </w:r>
    </w:p>
    <w:p>
      <w:pPr>
        <w:pStyle w:val="18"/>
        <w:widowControl/>
        <w:adjustRightInd w:val="0"/>
        <w:spacing w:before="75" w:beforeAutospacing="0" w:after="75" w:afterAutospacing="0" w:line="360" w:lineRule="atLeast"/>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签署日期：</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18"/>
        <w:widowControl/>
        <w:adjustRightInd w:val="0"/>
        <w:spacing w:before="75" w:beforeAutospacing="0" w:after="75" w:afterAutospacing="0" w:line="36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0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附：单位负责人、供应商代表的身份证正反面复印件</w:t>
      </w:r>
    </w:p>
    <w:tbl>
      <w:tblPr>
        <w:tblStyle w:val="21"/>
        <w:tblW w:w="8565" w:type="dxa"/>
        <w:tblInd w:w="-18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5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645" w:hRule="atLeast"/>
        </w:trPr>
        <w:tc>
          <w:tcPr>
            <w:tcW w:w="85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18"/>
              <w:widowControl/>
              <w:adjustRightInd w:val="0"/>
              <w:spacing w:beforeAutospacing="0" w:afterAutospacing="0" w:line="405" w:lineRule="atLeast"/>
              <w:jc w:val="center"/>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 </w:t>
            </w:r>
          </w:p>
          <w:p>
            <w:pPr>
              <w:pStyle w:val="18"/>
              <w:widowControl/>
              <w:adjustRightInd w:val="0"/>
              <w:spacing w:beforeAutospacing="0" w:afterAutospacing="0" w:line="405" w:lineRule="atLeast"/>
              <w:jc w:val="center"/>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要求：真实、有效、清晰</w:t>
            </w:r>
          </w:p>
          <w:p>
            <w:pPr>
              <w:pStyle w:val="18"/>
              <w:widowControl/>
              <w:adjustRightInd w:val="0"/>
              <w:spacing w:beforeAutospacing="0" w:afterAutospacing="0" w:line="405" w:lineRule="atLeast"/>
              <w:jc w:val="center"/>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14:textFill>
                  <w14:solidFill>
                    <w14:schemeClr w14:val="tx1"/>
                  </w14:solidFill>
                </w14:textFill>
              </w:rPr>
              <w:t> </w:t>
            </w:r>
          </w:p>
        </w:tc>
      </w:tr>
    </w:tbl>
    <w:p>
      <w:pPr>
        <w:pStyle w:val="18"/>
        <w:widowControl/>
        <w:adjustRightInd w:val="0"/>
        <w:spacing w:before="75" w:beforeAutospacing="0" w:after="75" w:afterAutospacing="0" w:line="28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★注意：</w:t>
      </w:r>
    </w:p>
    <w:p>
      <w:pPr>
        <w:widowControl/>
        <w:adjustRightInd w:val="0"/>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1、企业（银行、保险、石油石化、电力、电信等行业除外）、事业单位和社会团体法人的“单位负责人”指法定代表人，即与实际提交的“营业执照等证明文件”载明的一致。</w:t>
      </w:r>
    </w:p>
    <w:p>
      <w:pPr>
        <w:widowControl/>
        <w:adjustRightInd w:val="0"/>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adjustRightInd w:val="0"/>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3、供应商：若供应商代表为单位负责人授权的委托代理人，应提供本授权书；若供应商代表为单位负责人，应在此项下提交其身份证正反面复印件，可不提供本授权书。</w:t>
      </w:r>
    </w:p>
    <w:p>
      <w:pPr>
        <w:pStyle w:val="18"/>
        <w:widowControl/>
        <w:adjustRightInd w:val="0"/>
        <w:spacing w:beforeAutospacing="0" w:afterAutospacing="0" w:line="435" w:lineRule="atLeas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4、纸质响应文件正本中的本授权书（若有）应为原件。</w:t>
      </w: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附件3-4 </w:t>
      </w:r>
      <w:r>
        <w:rPr>
          <w:rStyle w:val="24"/>
          <w:rFonts w:hint="eastAsia" w:ascii="宋体" w:hAnsi="宋体" w:cs="宋体"/>
          <w:color w:val="000000" w:themeColor="text1"/>
          <w:shd w:val="clear" w:color="auto" w:fill="FFFFFF"/>
          <w14:textFill>
            <w14:solidFill>
              <w14:schemeClr w14:val="tx1"/>
            </w14:solidFill>
          </w14:textFill>
        </w:rPr>
        <w:t>            营业执照等证明文件</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致：</w:t>
      </w:r>
      <w:r>
        <w:rPr>
          <w:rFonts w:hint="eastAsia" w:ascii="宋体" w:hAnsi="宋体" w:cs="宋体"/>
          <w:color w:val="000000" w:themeColor="text1"/>
          <w:u w:val="single"/>
          <w:shd w:val="clear" w:color="auto" w:fill="FFFFFF"/>
          <w14:textFill>
            <w14:solidFill>
              <w14:schemeClr w14:val="tx1"/>
            </w14:solidFill>
          </w14:textFill>
        </w:rPr>
        <w:t>     (采购人或采购代理机构)        </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)供应商为法人(包括企业、事业单位和社会团体)的</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现附上由</w:t>
      </w:r>
      <w:r>
        <w:rPr>
          <w:rFonts w:hint="eastAsia" w:ascii="宋体" w:hAnsi="宋体" w:cs="宋体"/>
          <w:color w:val="000000" w:themeColor="text1"/>
          <w:u w:val="single"/>
          <w:shd w:val="clear" w:color="auto" w:fill="FFFFFF"/>
          <w14:textFill>
            <w14:solidFill>
              <w14:schemeClr w14:val="tx1"/>
            </w14:solidFill>
          </w14:textFill>
        </w:rPr>
        <w:t>(填写“签发机关全称”)</w:t>
      </w:r>
      <w:r>
        <w:rPr>
          <w:rFonts w:hint="eastAsia" w:ascii="宋体" w:hAnsi="宋体" w:cs="宋体"/>
          <w:color w:val="000000" w:themeColor="text1"/>
          <w:shd w:val="clear" w:color="auto" w:fill="FFFFFF"/>
          <w14:textFill>
            <w14:solidFill>
              <w14:schemeClr w14:val="tx1"/>
            </w14:solidFill>
          </w14:textFill>
        </w:rPr>
        <w:t>签发的我方统一社会信用代码</w:t>
      </w:r>
      <w:r>
        <w:rPr>
          <w:rFonts w:hint="eastAsia" w:ascii="宋体" w:hAnsi="宋体" w:cs="宋体"/>
          <w:color w:val="000000" w:themeColor="text1"/>
          <w:u w:val="single"/>
          <w:shd w:val="clear" w:color="auto" w:fill="FFFFFF"/>
          <w14:textFill>
            <w14:solidFill>
              <w14:schemeClr w14:val="tx1"/>
            </w14:solidFill>
          </w14:textFill>
        </w:rPr>
        <w:t>(请填写法人的具体证照名称)</w:t>
      </w:r>
      <w:r>
        <w:rPr>
          <w:rFonts w:hint="eastAsia" w:ascii="宋体" w:hAnsi="宋体" w:cs="宋体"/>
          <w:color w:val="000000" w:themeColor="text1"/>
          <w:shd w:val="clear" w:color="auto" w:fill="FFFFFF"/>
          <w14:textFill>
            <w14:solidFill>
              <w14:schemeClr w14:val="tx1"/>
            </w14:solidFill>
          </w14:textFill>
        </w:rPr>
        <w:t>复印件，该证明材料真实有效，否则我方负全部责任。</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)供应商为非法人(包括其他组织、自然人)的</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□现附上由</w:t>
      </w:r>
      <w:r>
        <w:rPr>
          <w:rFonts w:hint="eastAsia" w:ascii="宋体" w:hAnsi="宋体" w:cs="宋体"/>
          <w:color w:val="000000" w:themeColor="text1"/>
          <w:u w:val="single"/>
          <w:shd w:val="clear" w:color="auto" w:fill="FFFFFF"/>
          <w14:textFill>
            <w14:solidFill>
              <w14:schemeClr w14:val="tx1"/>
            </w14:solidFill>
          </w14:textFill>
        </w:rPr>
        <w:t>(填写“签发机关全称”)</w:t>
      </w:r>
      <w:r>
        <w:rPr>
          <w:rFonts w:hint="eastAsia" w:ascii="宋体" w:hAnsi="宋体" w:cs="宋体"/>
          <w:color w:val="000000" w:themeColor="text1"/>
          <w:shd w:val="clear" w:color="auto" w:fill="FFFFFF"/>
          <w14:textFill>
            <w14:solidFill>
              <w14:schemeClr w14:val="tx1"/>
            </w14:solidFill>
          </w14:textFill>
        </w:rPr>
        <w:t>签发的我方</w:t>
      </w:r>
      <w:r>
        <w:rPr>
          <w:rFonts w:hint="eastAsia" w:ascii="宋体" w:hAnsi="宋体" w:cs="宋体"/>
          <w:color w:val="000000" w:themeColor="text1"/>
          <w:u w:val="single"/>
          <w:shd w:val="clear" w:color="auto" w:fill="FFFFFF"/>
          <w14:textFill>
            <w14:solidFill>
              <w14:schemeClr w14:val="tx1"/>
            </w14:solidFill>
          </w14:textFill>
        </w:rPr>
        <w:t>(请填写非自然人的非法人的具体证照名称)</w:t>
      </w:r>
      <w:r>
        <w:rPr>
          <w:rFonts w:hint="eastAsia" w:ascii="宋体" w:hAnsi="宋体" w:cs="宋体"/>
          <w:color w:val="000000" w:themeColor="text1"/>
          <w:shd w:val="clear" w:color="auto" w:fill="FFFFFF"/>
          <w14:textFill>
            <w14:solidFill>
              <w14:schemeClr w14:val="tx1"/>
            </w14:solidFill>
          </w14:textFill>
        </w:rPr>
        <w:t>复印件，该证明材料真实有效，否则我方负全部责任。</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□现附上由</w:t>
      </w:r>
      <w:r>
        <w:rPr>
          <w:rFonts w:hint="eastAsia" w:ascii="宋体" w:hAnsi="宋体" w:cs="宋体"/>
          <w:color w:val="000000" w:themeColor="text1"/>
          <w:u w:val="single"/>
          <w:shd w:val="clear" w:color="auto" w:fill="FFFFFF"/>
          <w14:textFill>
            <w14:solidFill>
              <w14:schemeClr w14:val="tx1"/>
            </w14:solidFill>
          </w14:textFill>
        </w:rPr>
        <w:t>(填写“签发机关全称”)</w:t>
      </w:r>
      <w:r>
        <w:rPr>
          <w:rFonts w:hint="eastAsia" w:ascii="宋体" w:hAnsi="宋体" w:cs="宋体"/>
          <w:color w:val="000000" w:themeColor="text1"/>
          <w:shd w:val="clear" w:color="auto" w:fill="FFFFFF"/>
          <w14:textFill>
            <w14:solidFill>
              <w14:schemeClr w14:val="tx1"/>
            </w14:solidFill>
          </w14:textFill>
        </w:rPr>
        <w:t>签发的我方</w:t>
      </w:r>
      <w:r>
        <w:rPr>
          <w:rFonts w:hint="eastAsia" w:ascii="宋体" w:hAnsi="宋体" w:cs="宋体"/>
          <w:color w:val="000000" w:themeColor="text1"/>
          <w:u w:val="single"/>
          <w:shd w:val="clear" w:color="auto" w:fill="FFFFFF"/>
          <w14:textFill>
            <w14:solidFill>
              <w14:schemeClr w14:val="tx1"/>
            </w14:solidFill>
          </w14:textFill>
        </w:rPr>
        <w:t>(请填写自然人的身份证件名称)</w:t>
      </w:r>
      <w:r>
        <w:rPr>
          <w:rFonts w:hint="eastAsia" w:ascii="宋体" w:hAnsi="宋体" w:cs="宋体"/>
          <w:color w:val="000000" w:themeColor="text1"/>
          <w:shd w:val="clear" w:color="auto" w:fill="FFFFFF"/>
          <w14:textFill>
            <w14:solidFill>
              <w14:schemeClr w14:val="tx1"/>
            </w14:solidFill>
          </w14:textFill>
        </w:rPr>
        <w:t>复印件，该证明材料真实有效，否则我方负全部责任。</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★注意：</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1、请供应商根据实际情况填写，在相应的()中打“√”并选择相应的“□”(若有)后，再按照本格式的要求提供相应证明材料的复印件。</w:t>
      </w:r>
    </w:p>
    <w:p>
      <w:pPr>
        <w:widowControl/>
        <w:adjustRightInd w:val="0"/>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其他供应商应按照有关法律、法规和规章规定，提供有效的相应具体证照复印件。</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3、供应商提供的相应证明材料复印件均应符合：内容完整、清晰、整洁，并由供应商加盖其单位公章。</w:t>
      </w: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jc w:val="both"/>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both"/>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both"/>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both"/>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附件3-5             </w:t>
      </w:r>
      <w:r>
        <w:rPr>
          <w:rStyle w:val="24"/>
          <w:rFonts w:hint="eastAsia" w:ascii="宋体" w:hAnsi="宋体" w:cs="宋体"/>
          <w:color w:val="000000" w:themeColor="text1"/>
          <w:shd w:val="clear" w:color="auto" w:fill="FFFFFF"/>
          <w14:textFill>
            <w14:solidFill>
              <w14:schemeClr w14:val="tx1"/>
            </w14:solidFill>
          </w14:textFill>
        </w:rPr>
        <w:t>财务状况报告</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致：</w:t>
      </w:r>
      <w:r>
        <w:rPr>
          <w:rFonts w:hint="eastAsia" w:ascii="宋体" w:hAnsi="宋体" w:cs="宋体"/>
          <w:color w:val="000000" w:themeColor="text1"/>
          <w:u w:val="single"/>
          <w:shd w:val="clear" w:color="auto" w:fill="FFFFFF"/>
          <w14:textFill>
            <w14:solidFill>
              <w14:schemeClr w14:val="tx1"/>
            </w14:solidFill>
          </w14:textFill>
        </w:rPr>
        <w:t>     (采购人或采购代理机构)         </w:t>
      </w:r>
    </w:p>
    <w:p>
      <w:pPr>
        <w:pStyle w:val="18"/>
        <w:widowControl/>
        <w:adjustRightInd w:val="0"/>
        <w:spacing w:before="75" w:beforeAutospacing="0" w:after="75" w:afterAutospacing="0" w:line="435" w:lineRule="atLeast"/>
        <w:ind w:firstLine="48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)供应商提供财务报告的</w:t>
      </w:r>
    </w:p>
    <w:p>
      <w:pPr>
        <w:pStyle w:val="18"/>
        <w:widowControl/>
        <w:adjustRightInd w:val="0"/>
        <w:spacing w:before="75" w:beforeAutospacing="0" w:after="75" w:afterAutospacing="0" w:line="435" w:lineRule="atLeast"/>
        <w:ind w:firstLine="48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□企业适用：现附上我方</w:t>
      </w:r>
      <w:r>
        <w:rPr>
          <w:rFonts w:hint="eastAsia" w:ascii="宋体" w:hAnsi="宋体" w:cs="宋体"/>
          <w:color w:val="000000" w:themeColor="text1"/>
          <w:u w:val="single"/>
          <w:shd w:val="clear" w:color="auto" w:fill="FFFFFF"/>
          <w14:textFill>
            <w14:solidFill>
              <w14:schemeClr w14:val="tx1"/>
            </w14:solidFill>
          </w14:textFill>
        </w:rPr>
        <w:t>(填写“具体的年度、或半年度、或季度”)</w:t>
      </w:r>
      <w:r>
        <w:rPr>
          <w:rFonts w:hint="eastAsia" w:ascii="宋体" w:hAnsi="宋体" w:cs="宋体"/>
          <w:color w:val="000000" w:themeColor="text1"/>
          <w:shd w:val="clear" w:color="auto" w:fill="FFFFFF"/>
          <w14:textFill>
            <w14:solidFill>
              <w14:schemeClr w14:val="tx1"/>
            </w14:solidFill>
          </w14:textFill>
        </w:rPr>
        <w:t>财务报告复印件，包括资产负债表、利润表、现金流量表、所有者权益变动表及其附注(若有)，上述证明材料真实有效，否则我方负全部责任。</w:t>
      </w:r>
    </w:p>
    <w:p>
      <w:pPr>
        <w:pStyle w:val="18"/>
        <w:widowControl/>
        <w:adjustRightInd w:val="0"/>
        <w:spacing w:before="75" w:beforeAutospacing="0" w:after="75" w:afterAutospacing="0" w:line="435" w:lineRule="atLeast"/>
        <w:ind w:firstLine="48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□事业单位适用：现附上我方</w:t>
      </w:r>
      <w:r>
        <w:rPr>
          <w:rFonts w:hint="eastAsia" w:ascii="宋体" w:hAnsi="宋体" w:cs="宋体"/>
          <w:color w:val="000000" w:themeColor="text1"/>
          <w:u w:val="single"/>
          <w:shd w:val="clear" w:color="auto" w:fill="FFFFFF"/>
          <w14:textFill>
            <w14:solidFill>
              <w14:schemeClr w14:val="tx1"/>
            </w14:solidFill>
          </w14:textFill>
        </w:rPr>
        <w:t>(填写“具体的年度、或半年度、或季度”)</w:t>
      </w:r>
      <w:r>
        <w:rPr>
          <w:rFonts w:hint="eastAsia" w:ascii="宋体" w:hAnsi="宋体" w:cs="宋体"/>
          <w:color w:val="000000" w:themeColor="text1"/>
          <w:shd w:val="clear" w:color="auto" w:fill="FFFFFF"/>
          <w14:textFill>
            <w14:solidFill>
              <w14:schemeClr w14:val="tx1"/>
            </w14:solidFill>
          </w14:textFill>
        </w:rPr>
        <w:t>财务报告复印件，包括资产负债表、收入支出表或收入费用表、财政补助收入支出表(若有)，上述证明材料真实有效，否则我方负全部责任。</w:t>
      </w:r>
    </w:p>
    <w:p>
      <w:pPr>
        <w:pStyle w:val="18"/>
        <w:widowControl/>
        <w:adjustRightInd w:val="0"/>
        <w:spacing w:before="75" w:beforeAutospacing="0" w:after="75" w:afterAutospacing="0" w:line="435" w:lineRule="atLeast"/>
        <w:ind w:firstLine="48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□社会团体适用：现附上我方</w:t>
      </w:r>
      <w:r>
        <w:rPr>
          <w:rFonts w:hint="eastAsia" w:ascii="宋体" w:hAnsi="宋体" w:cs="宋体"/>
          <w:color w:val="000000" w:themeColor="text1"/>
          <w:u w:val="single"/>
          <w:shd w:val="clear" w:color="auto" w:fill="FFFFFF"/>
          <w14:textFill>
            <w14:solidFill>
              <w14:schemeClr w14:val="tx1"/>
            </w14:solidFill>
          </w14:textFill>
        </w:rPr>
        <w:t>(填写“具体的年度、或半年度、或季度”)</w:t>
      </w:r>
      <w:r>
        <w:rPr>
          <w:rFonts w:hint="eastAsia" w:ascii="宋体" w:hAnsi="宋体" w:cs="宋体"/>
          <w:color w:val="000000" w:themeColor="text1"/>
          <w:shd w:val="clear" w:color="auto" w:fill="FFFFFF"/>
          <w14:textFill>
            <w14:solidFill>
              <w14:schemeClr w14:val="tx1"/>
            </w14:solidFill>
          </w14:textFill>
        </w:rPr>
        <w:t>财务报告复印件，包括资产负债表、业务活动表、现金流量表，上述证明材料真实有效，否则我方负全部责任。</w:t>
      </w:r>
    </w:p>
    <w:p>
      <w:pPr>
        <w:pStyle w:val="18"/>
        <w:widowControl/>
        <w:adjustRightInd w:val="0"/>
        <w:spacing w:before="75" w:beforeAutospacing="0" w:after="75" w:afterAutospacing="0" w:line="435" w:lineRule="atLeast"/>
        <w:ind w:firstLine="48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)供应商提供资信证明的</w:t>
      </w:r>
    </w:p>
    <w:p>
      <w:pPr>
        <w:pStyle w:val="18"/>
        <w:widowControl/>
        <w:adjustRightInd w:val="0"/>
        <w:spacing w:before="75" w:beforeAutospacing="0" w:after="75" w:afterAutospacing="0" w:line="435" w:lineRule="atLeast"/>
        <w:ind w:firstLine="48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□非自然人适用：现附上我方银行：</w:t>
      </w:r>
      <w:r>
        <w:rPr>
          <w:rFonts w:hint="eastAsia" w:ascii="宋体" w:hAnsi="宋体" w:cs="宋体"/>
          <w:color w:val="000000" w:themeColor="text1"/>
          <w:u w:val="single"/>
          <w:shd w:val="clear" w:color="auto" w:fill="FFFFFF"/>
          <w14:textFill>
            <w14:solidFill>
              <w14:schemeClr w14:val="tx1"/>
            </w14:solidFill>
          </w14:textFill>
        </w:rPr>
        <w:t>(填写“开户银行全称”)</w:t>
      </w:r>
      <w:r>
        <w:rPr>
          <w:rFonts w:hint="eastAsia" w:ascii="宋体" w:hAnsi="宋体" w:cs="宋体"/>
          <w:color w:val="000000" w:themeColor="text1"/>
          <w:shd w:val="clear" w:color="auto" w:fill="FFFFFF"/>
          <w14:textFill>
            <w14:solidFill>
              <w14:schemeClr w14:val="tx1"/>
            </w14:solidFill>
          </w14:textFill>
        </w:rPr>
        <w:t>出具的资信证明复印件，上述证明材料真实有效，否则我方负全部责任。</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★注意事项：</w:t>
      </w:r>
    </w:p>
    <w:p>
      <w:pPr>
        <w:pStyle w:val="18"/>
        <w:widowControl/>
        <w:adjustRightInd w:val="0"/>
        <w:spacing w:beforeAutospacing="0" w:afterAutospacing="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widowControl/>
        <w:adjustRightInd w:val="0"/>
        <w:snapToGrid w:val="0"/>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提供的财务报告复印件（成立年限按照提交响应文件截止时间推算）应符合下列规定：1.1成立年限满1年及以上的供应商，提供经审计的2020年度或2021年度的年度财务报告。1.2成立年限满半年但不足1年的供应商，提供该半年度中任一季度的季度财务报告或该半年度的半年度财务报告。※无法按照第1.1、1.2条规定提供财务报告复印件的供应商（包括但不限于：成立年限满1年及以上的供应商、成立年限满半年但不足1年的供应商、成立年限不足半年的供应商），应选择提供资信证明。注：《资信证明》若注明复印无效的需提供原件，否则视为未提供。</w:t>
      </w:r>
    </w:p>
    <w:p>
      <w:pPr>
        <w:pStyle w:val="18"/>
        <w:widowControl/>
        <w:adjustRightInd w:val="0"/>
        <w:spacing w:beforeAutospacing="0" w:afterAutospacing="0" w:line="360" w:lineRule="atLeast"/>
        <w:ind w:firstLine="480" w:firstLineChars="200"/>
        <w:jc w:val="both"/>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3、供应商提供的相应证明材料均应符合：内容完整、清晰、整洁，并由供应商加盖其单位公章。</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附件3-6          </w:t>
      </w:r>
      <w:r>
        <w:rPr>
          <w:rStyle w:val="24"/>
          <w:rFonts w:hint="eastAsia" w:ascii="宋体" w:hAnsi="宋体" w:cs="宋体"/>
          <w:color w:val="000000" w:themeColor="text1"/>
          <w:shd w:val="clear" w:color="auto" w:fill="FFFFFF"/>
          <w14:textFill>
            <w14:solidFill>
              <w14:schemeClr w14:val="tx1"/>
            </w14:solidFill>
          </w14:textFill>
        </w:rPr>
        <w:t>依法缴纳税收证明材料</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致：</w:t>
      </w:r>
      <w:r>
        <w:rPr>
          <w:rFonts w:hint="eastAsia" w:ascii="宋体" w:hAnsi="宋体" w:cs="宋体"/>
          <w:color w:val="000000" w:themeColor="text1"/>
          <w:u w:val="single"/>
          <w:shd w:val="clear" w:color="auto" w:fill="FFFFFF"/>
          <w14:textFill>
            <w14:solidFill>
              <w14:schemeClr w14:val="tx1"/>
            </w14:solidFill>
          </w14:textFill>
        </w:rPr>
        <w:t>     (采购人或采购代理机构)      </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1、依法缴纳税收的供应商</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)法人(包括企业、事业单位和社会团体)的</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现附上自</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日至</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日期间我方缴纳的</w:t>
      </w:r>
      <w:r>
        <w:rPr>
          <w:rFonts w:hint="eastAsia" w:ascii="宋体" w:hAnsi="宋体" w:cs="宋体"/>
          <w:color w:val="000000" w:themeColor="text1"/>
          <w:u w:val="single"/>
          <w:shd w:val="clear" w:color="auto" w:fill="FFFFFF"/>
          <w14:textFill>
            <w14:solidFill>
              <w14:schemeClr w14:val="tx1"/>
            </w14:solidFill>
          </w14:textFill>
        </w:rPr>
        <w:t>(按照供应商实际缴纳的税种名称填写，如：增值税、所得税等)</w:t>
      </w:r>
      <w:r>
        <w:rPr>
          <w:rFonts w:hint="eastAsia" w:ascii="宋体" w:hAnsi="宋体" w:cs="宋体"/>
          <w:color w:val="000000" w:themeColor="text1"/>
          <w:shd w:val="clear" w:color="auto" w:fill="FFFFFF"/>
          <w14:textFill>
            <w14:solidFill>
              <w14:schemeClr w14:val="tx1"/>
            </w14:solidFill>
          </w14:textFill>
        </w:rPr>
        <w:t>税收凭据复印件，上述证明材料真实有效，否则我方负全部责任。</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)非法人(包括其他组织、自然人)的</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现附上自</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日至</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日期间我方缴纳的</w:t>
      </w:r>
      <w:r>
        <w:rPr>
          <w:rFonts w:hint="eastAsia" w:ascii="宋体" w:hAnsi="宋体" w:cs="宋体"/>
          <w:color w:val="000000" w:themeColor="text1"/>
          <w:u w:val="single"/>
          <w:shd w:val="clear" w:color="auto" w:fill="FFFFFF"/>
          <w14:textFill>
            <w14:solidFill>
              <w14:schemeClr w14:val="tx1"/>
            </w14:solidFill>
          </w14:textFill>
        </w:rPr>
        <w:t>(按照供应商实际缴纳的税种名称填写)</w:t>
      </w:r>
      <w:r>
        <w:rPr>
          <w:rFonts w:hint="eastAsia" w:ascii="宋体" w:hAnsi="宋体" w:cs="宋体"/>
          <w:color w:val="000000" w:themeColor="text1"/>
          <w:shd w:val="clear" w:color="auto" w:fill="FFFFFF"/>
          <w14:textFill>
            <w14:solidFill>
              <w14:schemeClr w14:val="tx1"/>
            </w14:solidFill>
          </w14:textFill>
        </w:rPr>
        <w:t>税收凭据复印件，上述证明材料真实有效，否则我方负全部责任。</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2、依法免税的供应商</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)现附上我方依法免税证明材料复印件，上述证明材料真实有效，否则我方负全部责任。</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★注意：</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1、请供应商根据实际情况填写，在相应的()中打“√”，并按照本格式的要求提供相应证明材料的复印件。</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2、供应商提供的税收凭据复印件应符合下列规定：</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2.1首次响应文件递交截止时间前(不含截止时间的当月)已依法缴纳税收的供应商，提供首次响应文件递交截止时间前六个月</w:t>
      </w:r>
      <w:r>
        <w:rPr>
          <w:rFonts w:hint="eastAsia" w:ascii="宋体" w:hAnsi="宋体" w:cs="宋体"/>
          <w:color w:val="000000" w:themeColor="text1"/>
          <w14:textFill>
            <w14:solidFill>
              <w14:schemeClr w14:val="tx1"/>
            </w14:solidFill>
          </w14:textFill>
        </w:rPr>
        <w:t>（不含提交响应文件截止时间的当月）的当月</w:t>
      </w:r>
      <w:r>
        <w:rPr>
          <w:rFonts w:hint="eastAsia" w:ascii="宋体" w:hAnsi="宋体" w:cs="宋体"/>
          <w:color w:val="000000" w:themeColor="text1"/>
          <w:shd w:val="clear" w:color="auto" w:fill="FFFFFF"/>
          <w14:textFill>
            <w14:solidFill>
              <w14:schemeClr w14:val="tx1"/>
            </w14:solidFill>
          </w14:textFill>
        </w:rPr>
        <w:t>中任一月份的税收凭据复印件。</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2.2首次响应文件递交截止时间的当月成立且已依法缴纳税收的供应商，提供截止时间当月的税收凭据复印件。</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2.3首次响应文件递交截止时间的当月成立但因税务机关原因而尚未依法缴纳税收的供应商，提供依法缴纳税收承诺书原件(格式自拟)，该承诺书视同税收凭据。</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3、供应商提供的相应证明材料复印件均应符合：内容完整、清晰、整洁，并由供应商加盖其单位公章。</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w:t>
      </w:r>
      <w:r>
        <w:rPr>
          <w:rStyle w:val="24"/>
          <w:rFonts w:hint="eastAsia" w:ascii="宋体" w:hAnsi="宋体" w:cs="宋体"/>
          <w:color w:val="000000" w:themeColor="text1"/>
          <w:shd w:val="clear" w:color="auto" w:fill="FFFFFF"/>
          <w14:textFill>
            <w14:solidFill>
              <w14:schemeClr w14:val="tx1"/>
            </w14:solidFill>
          </w14:textFill>
        </w:rPr>
        <w:t>“依法缴纳税收证明材料”</w:t>
      </w:r>
      <w:r>
        <w:rPr>
          <w:rFonts w:hint="eastAsia" w:ascii="宋体" w:hAnsi="宋体" w:cs="宋体"/>
          <w:color w:val="000000" w:themeColor="text1"/>
          <w:shd w:val="clear" w:color="auto" w:fill="FFFFFF"/>
          <w14:textFill>
            <w14:solidFill>
              <w14:schemeClr w14:val="tx1"/>
            </w14:solidFill>
          </w14:textFill>
        </w:rPr>
        <w:t>有欠缴记录的，视为</w:t>
      </w:r>
      <w:r>
        <w:rPr>
          <w:rStyle w:val="24"/>
          <w:rFonts w:hint="eastAsia" w:ascii="宋体" w:hAnsi="宋体" w:cs="宋体"/>
          <w:color w:val="000000" w:themeColor="text1"/>
          <w:shd w:val="clear" w:color="auto" w:fill="FFFFFF"/>
          <w14:textFill>
            <w14:solidFill>
              <w14:schemeClr w14:val="tx1"/>
            </w14:solidFill>
          </w14:textFill>
        </w:rPr>
        <w:t>未依法缴纳税收</w:t>
      </w:r>
      <w:r>
        <w:rPr>
          <w:rFonts w:hint="eastAsia" w:ascii="宋体" w:hAnsi="宋体" w:cs="宋体"/>
          <w:color w:val="000000" w:themeColor="text1"/>
          <w:shd w:val="clear" w:color="auto" w:fill="FFFFFF"/>
          <w14:textFill>
            <w14:solidFill>
              <w14:schemeClr w14:val="tx1"/>
            </w14:solidFill>
          </w14:textFill>
        </w:rPr>
        <w:t>。</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w:t>
      </w: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附件3-7       </w:t>
      </w:r>
      <w:r>
        <w:rPr>
          <w:rStyle w:val="24"/>
          <w:rFonts w:hint="eastAsia" w:ascii="宋体" w:hAnsi="宋体" w:cs="宋体"/>
          <w:color w:val="000000" w:themeColor="text1"/>
          <w:shd w:val="clear" w:color="auto" w:fill="FFFFFF"/>
          <w14:textFill>
            <w14:solidFill>
              <w14:schemeClr w14:val="tx1"/>
            </w14:solidFill>
          </w14:textFill>
        </w:rPr>
        <w:t>依法缴纳社会保障资金证明材料</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致：</w:t>
      </w:r>
      <w:r>
        <w:rPr>
          <w:rFonts w:hint="eastAsia" w:ascii="宋体" w:hAnsi="宋体" w:cs="宋体"/>
          <w:color w:val="000000" w:themeColor="text1"/>
          <w:u w:val="single"/>
          <w:shd w:val="clear" w:color="auto" w:fill="FFFFFF"/>
          <w14:textFill>
            <w14:solidFill>
              <w14:schemeClr w14:val="tx1"/>
            </w14:solidFill>
          </w14:textFill>
        </w:rPr>
        <w:t>     (采购人或采购代理机构)       </w:t>
      </w:r>
    </w:p>
    <w:p>
      <w:pPr>
        <w:pStyle w:val="18"/>
        <w:widowControl/>
        <w:adjustRightInd w:val="0"/>
        <w:spacing w:before="75" w:beforeAutospacing="0" w:after="75" w:afterAutospacing="0"/>
        <w:ind w:firstLine="48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1、依法缴纳社会保障资金的供应商</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)法人(包括企业、事业单位和社会团体)的</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现附上自</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日至</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)非法人(包括其他组织、自然人)的</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自</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日至</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pStyle w:val="18"/>
        <w:widowControl/>
        <w:adjustRightInd w:val="0"/>
        <w:spacing w:before="75" w:beforeAutospacing="0" w:after="75" w:afterAutospacing="0"/>
        <w:ind w:firstLine="48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2、依法不需要缴纳社会保障资金的供应商</w:t>
      </w:r>
    </w:p>
    <w:p>
      <w:pPr>
        <w:pStyle w:val="18"/>
        <w:widowControl/>
        <w:adjustRightInd w:val="0"/>
        <w:spacing w:before="75" w:beforeAutospacing="0" w:after="75" w:afterAutospacing="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)现附上我方依法不需要缴纳社会保障资金证明材料复印件，上述证明材料真实有效，否则我方负全部责任。</w:t>
      </w:r>
    </w:p>
    <w:p>
      <w:pPr>
        <w:pStyle w:val="18"/>
        <w:widowControl/>
        <w:adjustRightInd w:val="0"/>
        <w:spacing w:beforeAutospacing="0" w:afterAutospacing="0" w:line="28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Autospacing="0" w:afterAutospacing="0" w:line="28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★注意：</w:t>
      </w:r>
    </w:p>
    <w:p>
      <w:pPr>
        <w:pStyle w:val="18"/>
        <w:widowControl/>
        <w:adjustRightInd w:val="0"/>
        <w:spacing w:beforeAutospacing="0" w:afterAutospacing="0" w:line="28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1、请供应商根据实际情况填写，在相应的()中打“√”，并按照本格式的要求提供相应证明材料的复印件。</w:t>
      </w:r>
    </w:p>
    <w:p>
      <w:pPr>
        <w:pStyle w:val="18"/>
        <w:widowControl/>
        <w:adjustRightInd w:val="0"/>
        <w:spacing w:beforeAutospacing="0" w:afterAutospacing="0" w:line="28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2、供应商提供的社会保险凭据复印件应符合下列规定：</w:t>
      </w:r>
    </w:p>
    <w:p>
      <w:pPr>
        <w:pStyle w:val="18"/>
        <w:widowControl/>
        <w:adjustRightInd w:val="0"/>
        <w:spacing w:beforeAutospacing="0" w:afterAutospacing="0" w:line="28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2.1首次响应文件递交截止时间前(不含截止时间的当月)已依法缴纳社会保障资金的投供应商，提供首次响应文件递交截止时间前六个月</w:t>
      </w:r>
      <w:r>
        <w:rPr>
          <w:rFonts w:hint="eastAsia" w:ascii="宋体" w:hAnsi="宋体" w:cs="宋体"/>
          <w:color w:val="000000" w:themeColor="text1"/>
          <w14:textFill>
            <w14:solidFill>
              <w14:schemeClr w14:val="tx1"/>
            </w14:solidFill>
          </w14:textFill>
        </w:rPr>
        <w:t>（不含提交响应文件截止时间的当月）</w:t>
      </w:r>
      <w:r>
        <w:rPr>
          <w:rFonts w:hint="eastAsia" w:ascii="宋体" w:hAnsi="宋体" w:cs="宋体"/>
          <w:color w:val="000000" w:themeColor="text1"/>
          <w:shd w:val="clear" w:color="auto" w:fill="FFFFFF"/>
          <w14:textFill>
            <w14:solidFill>
              <w14:schemeClr w14:val="tx1"/>
            </w14:solidFill>
          </w14:textFill>
        </w:rPr>
        <w:t>中任一月份的社会保险凭据复印件。</w:t>
      </w:r>
    </w:p>
    <w:p>
      <w:pPr>
        <w:pStyle w:val="18"/>
        <w:widowControl/>
        <w:adjustRightInd w:val="0"/>
        <w:spacing w:beforeAutospacing="0" w:afterAutospacing="0" w:line="28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2.2首次响应文件递交截止时间的当月成立且已依法缴纳社会保障资金的供应商，提供首次响应文件递交截止时间当月的社会保险凭据复印件。</w:t>
      </w:r>
    </w:p>
    <w:p>
      <w:pPr>
        <w:pStyle w:val="18"/>
        <w:widowControl/>
        <w:adjustRightInd w:val="0"/>
        <w:spacing w:beforeAutospacing="0" w:afterAutospacing="0" w:line="28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pStyle w:val="18"/>
        <w:widowControl/>
        <w:adjustRightInd w:val="0"/>
        <w:spacing w:beforeAutospacing="0" w:afterAutospacing="0" w:line="28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3、供应商提供的相应证明材料复印件均应符合：内容完整、清晰、整洁，并由供应商加盖其单位公章。</w:t>
      </w:r>
    </w:p>
    <w:p>
      <w:pPr>
        <w:pStyle w:val="18"/>
        <w:widowControl/>
        <w:adjustRightInd w:val="0"/>
        <w:spacing w:beforeAutospacing="0" w:afterAutospacing="0" w:line="28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w:t>
      </w:r>
      <w:r>
        <w:rPr>
          <w:rStyle w:val="24"/>
          <w:rFonts w:hint="eastAsia" w:ascii="宋体" w:hAnsi="宋体" w:cs="宋体"/>
          <w:color w:val="000000" w:themeColor="text1"/>
          <w:shd w:val="clear" w:color="auto" w:fill="FFFFFF"/>
          <w14:textFill>
            <w14:solidFill>
              <w14:schemeClr w14:val="tx1"/>
            </w14:solidFill>
          </w14:textFill>
        </w:rPr>
        <w:t>依法缴纳社会保障资金证明材料</w:t>
      </w:r>
      <w:r>
        <w:rPr>
          <w:rFonts w:hint="eastAsia" w:ascii="宋体" w:hAnsi="宋体" w:cs="宋体"/>
          <w:color w:val="000000" w:themeColor="text1"/>
          <w:shd w:val="clear" w:color="auto" w:fill="FFFFFF"/>
          <w14:textFill>
            <w14:solidFill>
              <w14:schemeClr w14:val="tx1"/>
            </w14:solidFill>
          </w14:textFill>
        </w:rPr>
        <w:t>”有欠缴记录的，视为</w:t>
      </w:r>
      <w:r>
        <w:rPr>
          <w:rStyle w:val="24"/>
          <w:rFonts w:hint="eastAsia" w:ascii="宋体" w:hAnsi="宋体" w:cs="宋体"/>
          <w:color w:val="000000" w:themeColor="text1"/>
          <w:shd w:val="clear" w:color="auto" w:fill="FFFFFF"/>
          <w14:textFill>
            <w14:solidFill>
              <w14:schemeClr w14:val="tx1"/>
            </w14:solidFill>
          </w14:textFill>
        </w:rPr>
        <w:t>未依法缴纳社会保障资金</w:t>
      </w:r>
      <w:r>
        <w:rPr>
          <w:rFonts w:hint="eastAsia" w:ascii="宋体" w:hAnsi="宋体" w:cs="宋体"/>
          <w:color w:val="000000" w:themeColor="text1"/>
          <w:shd w:val="clear" w:color="auto" w:fill="FFFFFF"/>
          <w14:textFill>
            <w14:solidFill>
              <w14:schemeClr w14:val="tx1"/>
            </w14:solidFill>
          </w14:textFill>
        </w:rPr>
        <w:t>。</w:t>
      </w:r>
    </w:p>
    <w:p>
      <w:pPr>
        <w:pStyle w:val="18"/>
        <w:widowControl/>
        <w:adjustRightInd w:val="0"/>
        <w:spacing w:beforeAutospacing="0" w:afterAutospacing="0" w:line="28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Autospacing="0" w:afterAutospacing="0" w:line="28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Autospacing="0" w:afterAutospacing="0" w:line="28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28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w:t>
      </w:r>
    </w:p>
    <w:p>
      <w:pPr>
        <w:pStyle w:val="18"/>
        <w:widowControl/>
        <w:adjustRightInd w:val="0"/>
        <w:spacing w:beforeAutospacing="0" w:afterAutospacing="0" w:line="285" w:lineRule="atLeas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18"/>
        <w:widowControl/>
        <w:adjustRightInd w:val="0"/>
        <w:spacing w:beforeAutospacing="0" w:afterAutospacing="0" w:line="28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附件3-8   </w:t>
      </w:r>
      <w:r>
        <w:rPr>
          <w:rStyle w:val="24"/>
          <w:rFonts w:hint="eastAsia" w:ascii="宋体" w:hAnsi="宋体" w:cs="宋体"/>
          <w:color w:val="000000" w:themeColor="text1"/>
          <w:shd w:val="clear" w:color="auto" w:fill="FFFFFF"/>
          <w14:textFill>
            <w14:solidFill>
              <w14:schemeClr w14:val="tx1"/>
            </w14:solidFill>
          </w14:textFill>
        </w:rPr>
        <w:t>具备履行合同所必需设备和专业技术能力证明材料</w:t>
      </w:r>
    </w:p>
    <w:p>
      <w:pPr>
        <w:pStyle w:val="18"/>
        <w:spacing w:before="75" w:after="75"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r>
        <w:rPr>
          <w:rFonts w:hint="eastAsia" w:ascii="宋体" w:hAnsi="宋体" w:cs="宋体"/>
          <w:color w:val="000000" w:themeColor="text1"/>
          <w14:textFill>
            <w14:solidFill>
              <w14:schemeClr w14:val="tx1"/>
            </w14:solidFill>
          </w14:textFill>
        </w:rPr>
        <w:t xml:space="preserve">  （1）1.供应商已在中国政府采购网进行了网上登记，并已列入“福建省政府采购代理机构名单”【提供在中国政府采购网政府采购代理机构名单查询结果的完整截图】。</w:t>
      </w:r>
    </w:p>
    <w:p>
      <w:pPr>
        <w:pStyle w:val="18"/>
        <w:widowControl/>
        <w:adjustRightInd w:val="0"/>
        <w:spacing w:before="75" w:beforeAutospacing="0" w:after="75" w:afterAutospacing="0" w:line="435" w:lineRule="atLeast"/>
        <w:ind w:firstLine="48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（2）供应商在福州市应有固定的办公、评审场所【提供自有产权证明或租赁合同（附产权证明及提交响应文件截止时间前连续三个月（不含提交响应文件截止时间的当月）的租金转账凭证）】。</w:t>
      </w: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ind w:firstLine="48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ind w:firstLine="48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ind w:firstLine="48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ind w:firstLine="48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ind w:firstLine="48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ind w:firstLine="48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center"/>
        <w:rPr>
          <w:rStyle w:val="24"/>
          <w:rFonts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附件3-9</w:t>
      </w:r>
      <w:r>
        <w:rPr>
          <w:rStyle w:val="24"/>
        </w:rPr>
        <w:t> </w:t>
      </w:r>
      <w:r>
        <w:rPr>
          <w:rStyle w:val="24"/>
          <w:rFonts w:cs="宋体"/>
          <w:color w:val="000000" w:themeColor="text1"/>
          <w:shd w:val="clear" w:color="auto" w:fill="FFFFFF"/>
          <w14:textFill>
            <w14:solidFill>
              <w14:schemeClr w14:val="tx1"/>
            </w14:solidFill>
          </w14:textFill>
        </w:rPr>
        <w:t>参加采购活动前3年内在经营活动中没有重大违法记录的书面声明</w:t>
      </w:r>
    </w:p>
    <w:p>
      <w:pPr>
        <w:pStyle w:val="18"/>
        <w:widowControl/>
        <w:adjustRightInd w:val="0"/>
        <w:spacing w:before="75" w:beforeAutospacing="0" w:after="75" w:afterAutospacing="0" w:line="435" w:lineRule="atLeast"/>
        <w:jc w:val="center"/>
        <w:rPr>
          <w:rStyle w:val="24"/>
          <w:rFonts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致：</w:t>
      </w:r>
      <w:r>
        <w:rPr>
          <w:rFonts w:hint="eastAsia" w:ascii="宋体" w:hAnsi="宋体" w:cs="宋体"/>
          <w:color w:val="000000" w:themeColor="text1"/>
          <w:u w:val="single"/>
          <w:shd w:val="clear" w:color="auto" w:fill="FFFFFF"/>
          <w14:textFill>
            <w14:solidFill>
              <w14:schemeClr w14:val="tx1"/>
            </w14:solidFill>
          </w14:textFill>
        </w:rPr>
        <w:t>     (采购人或采购代理机构)       </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参加采购活动前三年内，我方在经营活动中没有重大违法记录。</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特此声明。</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★注意：</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1、“重大违法记录”指供应商因违法经营受到刑事处罚或责令停产停业、吊销许可证或执照、较大数额罚款等行政处罚。</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2、请供应商根据实际情况进行声明，若声明不真实，视为提供虚假材料。</w:t>
      </w: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br w:type="page"/>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xml:space="preserve">附件3-10               </w:t>
      </w:r>
      <w:r>
        <w:rPr>
          <w:rStyle w:val="24"/>
          <w:rFonts w:hint="eastAsia" w:ascii="宋体" w:hAnsi="宋体" w:cs="宋体"/>
          <w:color w:val="000000" w:themeColor="text1"/>
          <w:shd w:val="clear" w:color="auto" w:fill="FFFFFF"/>
          <w14:textFill>
            <w14:solidFill>
              <w14:schemeClr w14:val="tx1"/>
            </w14:solidFill>
          </w14:textFill>
        </w:rPr>
        <w:t>信用记录查询结果</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spacing w:beforeAutospacing="0" w:afterAutospacing="0" w:line="480" w:lineRule="atLeast"/>
        <w:ind w:firstLine="420"/>
        <w:rPr>
          <w:rFonts w:ascii="宋体" w:hAnsi="宋体" w:cs="宋体"/>
        </w:rPr>
      </w:pPr>
      <w:r>
        <w:rPr>
          <w:rFonts w:hint="eastAsia" w:ascii="宋体" w:hAnsi="宋体" w:cs="宋体"/>
        </w:rPr>
        <w:t>1、由磋商小组通过网站查询并打印供应商的信用记录。</w:t>
      </w:r>
    </w:p>
    <w:p>
      <w:pPr>
        <w:pStyle w:val="18"/>
        <w:widowControl/>
        <w:spacing w:beforeAutospacing="0" w:afterAutospacing="0" w:line="480" w:lineRule="atLeast"/>
        <w:ind w:firstLine="420"/>
        <w:rPr>
          <w:rFonts w:ascii="宋体" w:hAnsi="宋体" w:cs="宋体"/>
        </w:rPr>
      </w:pPr>
      <w:r>
        <w:rPr>
          <w:rFonts w:hint="eastAsia" w:ascii="宋体" w:hAnsi="宋体" w:cs="宋体"/>
        </w:rPr>
        <w:t>2、经查询，供应商参加本项目采购活动(提交响应文件截止时间)前三年内被列入失信被执行人名单、重大税收违法案件当事人名单、政府采购严重违法失信行为记录名单及其他重大违法记录且相关信用惩戒期限未满的，其资格审查不合格。</w:t>
      </w:r>
    </w:p>
    <w:p>
      <w:pPr>
        <w:pStyle w:val="18"/>
        <w:widowControl/>
        <w:spacing w:beforeAutospacing="0" w:afterAutospacing="0" w:line="480" w:lineRule="atLeast"/>
        <w:ind w:firstLine="420"/>
        <w:rPr>
          <w:rFonts w:ascii="宋体" w:hAnsi="宋体" w:cs="宋体"/>
        </w:rPr>
      </w:pPr>
      <w:r>
        <w:rPr>
          <w:rFonts w:hint="eastAsia" w:ascii="宋体" w:hAnsi="宋体" w:cs="宋体"/>
        </w:rPr>
        <w:t>3、供应商应了解供应商自身的信用记录情况。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br w:type="page"/>
      </w:r>
    </w:p>
    <w:p>
      <w:pPr>
        <w:pStyle w:val="18"/>
        <w:widowControl/>
        <w:adjustRightInd w:val="0"/>
        <w:spacing w:before="75" w:beforeAutospacing="0" w:after="75" w:afterAutospacing="0"/>
        <w:rPr>
          <w:rStyle w:val="24"/>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附件3-11          </w:t>
      </w:r>
      <w:r>
        <w:rPr>
          <w:rStyle w:val="24"/>
          <w:rFonts w:hint="eastAsia" w:ascii="宋体" w:hAnsi="宋体" w:cs="宋体"/>
          <w:color w:val="000000" w:themeColor="text1"/>
          <w:shd w:val="clear" w:color="auto" w:fill="FFFFFF"/>
          <w14:textFill>
            <w14:solidFill>
              <w14:schemeClr w14:val="tx1"/>
            </w14:solidFill>
          </w14:textFill>
        </w:rPr>
        <w:t>其它资格证明文件</w:t>
      </w:r>
    </w:p>
    <w:p>
      <w:pPr>
        <w:pStyle w:val="18"/>
        <w:widowControl/>
        <w:adjustRightInd w:val="0"/>
        <w:spacing w:before="75" w:beforeAutospacing="0" w:after="75" w:afterAutospacing="0"/>
        <w:rPr>
          <w:rStyle w:val="24"/>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(如果有的话)</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2、若磋商文件规定接受联合体形式且供应商为联合体的，涉及联合体成员的其它资格证明文件在此处提供相关证明材料，并加盖供应商单位公章。</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ind w:firstLine="480"/>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xml:space="preserve">附件4               </w:t>
      </w:r>
      <w:r>
        <w:rPr>
          <w:rStyle w:val="24"/>
          <w:rFonts w:hint="eastAsia" w:ascii="宋体" w:hAnsi="宋体" w:cs="宋体"/>
          <w:color w:val="000000" w:themeColor="text1"/>
          <w:shd w:val="clear" w:color="auto" w:fill="FFFFFF"/>
          <w14:textFill>
            <w14:solidFill>
              <w14:schemeClr w14:val="tx1"/>
            </w14:solidFill>
          </w14:textFill>
        </w:rPr>
        <w:t>磋商保证金凭证</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ind w:firstLine="336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编制说明</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1、在此项下提交的“</w:t>
      </w:r>
      <w:r>
        <w:rPr>
          <w:rStyle w:val="24"/>
          <w:rFonts w:hint="eastAsia" w:ascii="宋体" w:hAnsi="宋体" w:cs="宋体"/>
          <w:color w:val="000000" w:themeColor="text1"/>
          <w:shd w:val="clear" w:color="auto" w:fill="FFFFFF"/>
          <w14:textFill>
            <w14:solidFill>
              <w14:schemeClr w14:val="tx1"/>
            </w14:solidFill>
          </w14:textFill>
        </w:rPr>
        <w:t>磋商保证金</w:t>
      </w:r>
      <w:r>
        <w:rPr>
          <w:rFonts w:hint="eastAsia" w:ascii="宋体" w:hAnsi="宋体" w:cs="宋体"/>
          <w:color w:val="000000" w:themeColor="text1"/>
          <w:shd w:val="clear" w:color="auto" w:fill="FFFFFF"/>
          <w14:textFill>
            <w14:solidFill>
              <w14:schemeClr w14:val="tx1"/>
            </w14:solidFill>
          </w14:textFill>
        </w:rPr>
        <w:t>”材料可使用转账凭证复印件。</w:t>
      </w:r>
    </w:p>
    <w:p>
      <w:pPr>
        <w:pStyle w:val="18"/>
        <w:widowControl/>
        <w:adjustRightInd w:val="0"/>
        <w:spacing w:before="75" w:beforeAutospacing="0" w:after="240" w:afterAutospacing="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2、磋商保证金是否已提交按照磋商文件规定执行。</w:t>
      </w:r>
    </w:p>
    <w:p>
      <w:pPr>
        <w:pStyle w:val="18"/>
        <w:widowControl/>
        <w:adjustRightInd w:val="0"/>
        <w:spacing w:before="75" w:beforeAutospacing="0" w:after="240"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240"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240"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240"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240"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240"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both"/>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both"/>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both"/>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both"/>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both"/>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18"/>
        <w:widowControl/>
        <w:adjustRightInd w:val="0"/>
        <w:spacing w:before="75" w:beforeAutospacing="0" w:after="240"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240"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240"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b/>
        </w:rPr>
      </w:pPr>
      <w:r>
        <w:rPr>
          <w:rFonts w:hint="eastAsia" w:ascii="宋体" w:hAnsi="宋体" w:cs="宋体"/>
          <w:color w:val="000000" w:themeColor="text1"/>
          <w:shd w:val="clear" w:color="auto" w:fill="FFFFFF"/>
          <w14:textFill>
            <w14:solidFill>
              <w14:schemeClr w14:val="tx1"/>
            </w14:solidFill>
          </w14:textFill>
        </w:rPr>
        <w:t>附件5        </w:t>
      </w:r>
      <w:r>
        <w:rPr>
          <w:rStyle w:val="24"/>
        </w:rPr>
        <w:t xml:space="preserve">    </w:t>
      </w:r>
      <w:r>
        <w:rPr>
          <w:rStyle w:val="24"/>
          <w:rFonts w:hint="eastAsia" w:ascii="宋体" w:hAnsi="宋体" w:cs="宋体"/>
          <w:color w:val="000000" w:themeColor="text1"/>
          <w:shd w:val="clear" w:color="auto" w:fill="FFFFFF"/>
          <w14:textFill>
            <w14:solidFill>
              <w14:schemeClr w14:val="tx1"/>
            </w14:solidFill>
          </w14:textFill>
        </w:rPr>
        <w:t xml:space="preserve">  </w:t>
      </w:r>
      <w:r>
        <w:rPr>
          <w:rStyle w:val="24"/>
          <w:rFonts w:cs="宋体"/>
          <w:color w:val="000000" w:themeColor="text1"/>
          <w:shd w:val="clear" w:color="auto" w:fill="FFFFFF"/>
          <w14:textFill>
            <w14:solidFill>
              <w14:schemeClr w14:val="tx1"/>
            </w14:solidFill>
          </w14:textFill>
        </w:rPr>
        <w:t>技术商务部分评审内容对应表</w:t>
      </w:r>
    </w:p>
    <w:p>
      <w:pPr>
        <w:rPr>
          <w:rFonts w:ascii="宋体" w:hAnsi="宋体"/>
          <w:sz w:val="24"/>
        </w:rPr>
      </w:pPr>
      <w:r>
        <w:rPr>
          <w:rFonts w:hint="eastAsia" w:ascii="宋体" w:hAnsi="宋体"/>
          <w:sz w:val="24"/>
        </w:rPr>
        <w:t xml:space="preserve">供应商名称：                          项目编号∶ </w:t>
      </w:r>
    </w:p>
    <w:tbl>
      <w:tblPr>
        <w:tblStyle w:val="21"/>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950"/>
        <w:gridCol w:w="2058"/>
        <w:gridCol w:w="2384"/>
        <w:gridCol w:w="1575"/>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818" w:type="dxa"/>
            <w:gridSpan w:val="2"/>
            <w:vAlign w:val="center"/>
          </w:tcPr>
          <w:p>
            <w:pPr>
              <w:spacing w:line="240" w:lineRule="exact"/>
              <w:jc w:val="center"/>
              <w:rPr>
                <w:rFonts w:ascii="宋体" w:hAnsi="宋体"/>
                <w:sz w:val="24"/>
              </w:rPr>
            </w:pPr>
            <w:r>
              <w:rPr>
                <w:rFonts w:hint="eastAsia" w:ascii="宋体" w:hAnsi="宋体"/>
                <w:sz w:val="24"/>
              </w:rPr>
              <w:t>项  目</w:t>
            </w:r>
          </w:p>
        </w:tc>
        <w:tc>
          <w:tcPr>
            <w:tcW w:w="2058" w:type="dxa"/>
            <w:vAlign w:val="center"/>
          </w:tcPr>
          <w:p>
            <w:pPr>
              <w:spacing w:line="240" w:lineRule="exact"/>
              <w:jc w:val="center"/>
              <w:rPr>
                <w:rFonts w:ascii="宋体" w:hAnsi="宋体"/>
                <w:sz w:val="24"/>
              </w:rPr>
            </w:pPr>
            <w:r>
              <w:rPr>
                <w:rFonts w:hint="eastAsia" w:ascii="宋体" w:hAnsi="宋体"/>
                <w:sz w:val="24"/>
              </w:rPr>
              <w:t>评 审 内 容</w:t>
            </w:r>
          </w:p>
        </w:tc>
        <w:tc>
          <w:tcPr>
            <w:tcW w:w="2384" w:type="dxa"/>
            <w:vAlign w:val="center"/>
          </w:tcPr>
          <w:p>
            <w:pPr>
              <w:spacing w:line="240" w:lineRule="exact"/>
              <w:jc w:val="center"/>
              <w:rPr>
                <w:rFonts w:ascii="宋体" w:hAnsi="宋体"/>
                <w:sz w:val="24"/>
              </w:rPr>
            </w:pPr>
            <w:r>
              <w:rPr>
                <w:rFonts w:hint="eastAsia" w:ascii="宋体" w:hAnsi="宋体"/>
                <w:sz w:val="24"/>
              </w:rPr>
              <w:t>响应文件响应情况</w:t>
            </w:r>
          </w:p>
        </w:tc>
        <w:tc>
          <w:tcPr>
            <w:tcW w:w="1575" w:type="dxa"/>
            <w:vAlign w:val="center"/>
          </w:tcPr>
          <w:p>
            <w:pPr>
              <w:spacing w:line="240" w:lineRule="exact"/>
              <w:jc w:val="center"/>
              <w:rPr>
                <w:rFonts w:ascii="宋体" w:hAnsi="宋体"/>
                <w:sz w:val="24"/>
              </w:rPr>
            </w:pPr>
            <w:r>
              <w:rPr>
                <w:rFonts w:hint="eastAsia" w:ascii="宋体" w:hAnsi="宋体"/>
                <w:sz w:val="24"/>
              </w:rPr>
              <w:t>证明材料</w:t>
            </w:r>
          </w:p>
        </w:tc>
        <w:tc>
          <w:tcPr>
            <w:tcW w:w="1183" w:type="dxa"/>
            <w:vAlign w:val="center"/>
          </w:tcPr>
          <w:p>
            <w:pPr>
              <w:spacing w:line="240" w:lineRule="exact"/>
              <w:jc w:val="center"/>
              <w:rPr>
                <w:rFonts w:ascii="宋体" w:hAnsi="宋体"/>
                <w:sz w:val="24"/>
              </w:rPr>
            </w:pPr>
            <w:r>
              <w:rPr>
                <w:rFonts w:hint="eastAsia" w:ascii="宋体" w:hAnsi="宋体"/>
                <w:sz w:val="24"/>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68" w:type="dxa"/>
            <w:vMerge w:val="restart"/>
            <w:vAlign w:val="center"/>
          </w:tcPr>
          <w:p>
            <w:pPr>
              <w:spacing w:line="240" w:lineRule="exact"/>
              <w:jc w:val="center"/>
              <w:rPr>
                <w:rFonts w:ascii="宋体" w:hAnsi="宋体"/>
                <w:sz w:val="24"/>
              </w:rPr>
            </w:pPr>
            <w:r>
              <w:rPr>
                <w:rFonts w:hint="eastAsia" w:ascii="宋体" w:hAnsi="宋体"/>
                <w:sz w:val="24"/>
              </w:rPr>
              <w:t>技</w:t>
            </w:r>
          </w:p>
          <w:p>
            <w:pPr>
              <w:spacing w:line="240" w:lineRule="exact"/>
              <w:jc w:val="center"/>
              <w:rPr>
                <w:rFonts w:ascii="宋体" w:hAnsi="宋体"/>
                <w:sz w:val="24"/>
              </w:rPr>
            </w:pPr>
            <w:r>
              <w:rPr>
                <w:rFonts w:hint="eastAsia" w:ascii="宋体" w:hAnsi="宋体"/>
                <w:sz w:val="24"/>
              </w:rPr>
              <w:t>术</w:t>
            </w:r>
          </w:p>
          <w:p>
            <w:pPr>
              <w:spacing w:line="240" w:lineRule="exact"/>
              <w:jc w:val="center"/>
              <w:rPr>
                <w:rFonts w:ascii="宋体" w:hAnsi="宋体"/>
                <w:sz w:val="24"/>
              </w:rPr>
            </w:pPr>
            <w:r>
              <w:rPr>
                <w:rFonts w:hint="eastAsia" w:ascii="宋体" w:hAnsi="宋体"/>
                <w:sz w:val="24"/>
              </w:rPr>
              <w:t>部</w:t>
            </w:r>
          </w:p>
          <w:p>
            <w:pPr>
              <w:spacing w:line="240" w:lineRule="exact"/>
              <w:jc w:val="center"/>
              <w:rPr>
                <w:rFonts w:ascii="宋体" w:hAnsi="宋体"/>
                <w:sz w:val="24"/>
              </w:rPr>
            </w:pPr>
            <w:r>
              <w:rPr>
                <w:rFonts w:hint="eastAsia" w:ascii="宋体" w:hAnsi="宋体"/>
                <w:sz w:val="24"/>
              </w:rPr>
              <w:t>分</w:t>
            </w:r>
          </w:p>
        </w:tc>
        <w:tc>
          <w:tcPr>
            <w:tcW w:w="950" w:type="dxa"/>
            <w:vAlign w:val="center"/>
          </w:tcPr>
          <w:p>
            <w:pPr>
              <w:spacing w:line="240" w:lineRule="exact"/>
              <w:jc w:val="center"/>
              <w:rPr>
                <w:rFonts w:ascii="宋体" w:hAnsi="宋体"/>
                <w:sz w:val="24"/>
              </w:rPr>
            </w:pPr>
          </w:p>
        </w:tc>
        <w:tc>
          <w:tcPr>
            <w:tcW w:w="2058" w:type="dxa"/>
            <w:vAlign w:val="center"/>
          </w:tcPr>
          <w:p>
            <w:pPr>
              <w:spacing w:line="240" w:lineRule="exact"/>
              <w:jc w:val="center"/>
              <w:rPr>
                <w:rFonts w:ascii="宋体" w:hAnsi="宋体"/>
                <w:b/>
                <w:sz w:val="24"/>
              </w:rPr>
            </w:pPr>
          </w:p>
        </w:tc>
        <w:tc>
          <w:tcPr>
            <w:tcW w:w="2384" w:type="dxa"/>
            <w:vAlign w:val="center"/>
          </w:tcPr>
          <w:p>
            <w:pPr>
              <w:spacing w:line="240" w:lineRule="exact"/>
              <w:jc w:val="center"/>
              <w:rPr>
                <w:rFonts w:ascii="宋体" w:hAnsi="宋体"/>
                <w:b/>
                <w:sz w:val="24"/>
              </w:rPr>
            </w:pPr>
          </w:p>
        </w:tc>
        <w:tc>
          <w:tcPr>
            <w:tcW w:w="1575" w:type="dxa"/>
            <w:vAlign w:val="center"/>
          </w:tcPr>
          <w:p>
            <w:pPr>
              <w:spacing w:line="240" w:lineRule="exact"/>
              <w:jc w:val="center"/>
              <w:rPr>
                <w:rFonts w:ascii="宋体" w:hAnsi="宋体"/>
                <w:b/>
                <w:sz w:val="24"/>
              </w:rPr>
            </w:pPr>
          </w:p>
        </w:tc>
        <w:tc>
          <w:tcPr>
            <w:tcW w:w="1183" w:type="dxa"/>
            <w:vAlign w:val="center"/>
          </w:tcPr>
          <w:p>
            <w:pPr>
              <w:spacing w:line="24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68" w:type="dxa"/>
            <w:vMerge w:val="continue"/>
          </w:tcPr>
          <w:p>
            <w:pPr>
              <w:spacing w:line="240" w:lineRule="exact"/>
              <w:rPr>
                <w:rFonts w:ascii="宋体" w:hAnsi="宋体"/>
                <w:b/>
                <w:sz w:val="24"/>
              </w:rPr>
            </w:pPr>
          </w:p>
        </w:tc>
        <w:tc>
          <w:tcPr>
            <w:tcW w:w="950" w:type="dxa"/>
            <w:vAlign w:val="center"/>
          </w:tcPr>
          <w:p>
            <w:pPr>
              <w:spacing w:line="240" w:lineRule="exact"/>
              <w:jc w:val="center"/>
              <w:rPr>
                <w:rFonts w:ascii="宋体" w:hAnsi="宋体"/>
                <w:sz w:val="24"/>
              </w:rPr>
            </w:pPr>
          </w:p>
        </w:tc>
        <w:tc>
          <w:tcPr>
            <w:tcW w:w="2058" w:type="dxa"/>
            <w:vAlign w:val="center"/>
          </w:tcPr>
          <w:p>
            <w:pPr>
              <w:spacing w:line="240" w:lineRule="exact"/>
              <w:jc w:val="center"/>
              <w:rPr>
                <w:rFonts w:ascii="宋体" w:hAnsi="宋体"/>
                <w:b/>
                <w:sz w:val="24"/>
              </w:rPr>
            </w:pPr>
          </w:p>
        </w:tc>
        <w:tc>
          <w:tcPr>
            <w:tcW w:w="2384" w:type="dxa"/>
            <w:vAlign w:val="center"/>
          </w:tcPr>
          <w:p>
            <w:pPr>
              <w:spacing w:line="240" w:lineRule="exact"/>
              <w:jc w:val="center"/>
              <w:rPr>
                <w:rFonts w:ascii="宋体" w:hAnsi="宋体"/>
                <w:b/>
                <w:sz w:val="24"/>
              </w:rPr>
            </w:pPr>
          </w:p>
        </w:tc>
        <w:tc>
          <w:tcPr>
            <w:tcW w:w="1575" w:type="dxa"/>
            <w:vAlign w:val="center"/>
          </w:tcPr>
          <w:p>
            <w:pPr>
              <w:spacing w:line="240" w:lineRule="exact"/>
              <w:jc w:val="center"/>
              <w:rPr>
                <w:rFonts w:ascii="宋体" w:hAnsi="宋体"/>
                <w:b/>
                <w:sz w:val="24"/>
              </w:rPr>
            </w:pPr>
          </w:p>
        </w:tc>
        <w:tc>
          <w:tcPr>
            <w:tcW w:w="1183" w:type="dxa"/>
            <w:vAlign w:val="center"/>
          </w:tcPr>
          <w:p>
            <w:pPr>
              <w:spacing w:line="24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68" w:type="dxa"/>
            <w:vMerge w:val="continue"/>
          </w:tcPr>
          <w:p>
            <w:pPr>
              <w:spacing w:line="240" w:lineRule="exact"/>
              <w:rPr>
                <w:rFonts w:ascii="宋体" w:hAnsi="宋体"/>
                <w:b/>
                <w:sz w:val="24"/>
              </w:rPr>
            </w:pPr>
          </w:p>
        </w:tc>
        <w:tc>
          <w:tcPr>
            <w:tcW w:w="950" w:type="dxa"/>
            <w:vAlign w:val="center"/>
          </w:tcPr>
          <w:p>
            <w:pPr>
              <w:spacing w:line="240" w:lineRule="exact"/>
              <w:jc w:val="center"/>
              <w:rPr>
                <w:rFonts w:ascii="宋体" w:hAnsi="宋体"/>
                <w:sz w:val="24"/>
              </w:rPr>
            </w:pPr>
          </w:p>
        </w:tc>
        <w:tc>
          <w:tcPr>
            <w:tcW w:w="2058" w:type="dxa"/>
            <w:vAlign w:val="center"/>
          </w:tcPr>
          <w:p>
            <w:pPr>
              <w:spacing w:line="240" w:lineRule="exact"/>
              <w:jc w:val="center"/>
              <w:rPr>
                <w:rFonts w:ascii="宋体" w:hAnsi="宋体"/>
                <w:b/>
                <w:sz w:val="24"/>
              </w:rPr>
            </w:pPr>
          </w:p>
        </w:tc>
        <w:tc>
          <w:tcPr>
            <w:tcW w:w="2384" w:type="dxa"/>
            <w:vAlign w:val="center"/>
          </w:tcPr>
          <w:p>
            <w:pPr>
              <w:spacing w:line="240" w:lineRule="exact"/>
              <w:jc w:val="center"/>
              <w:rPr>
                <w:rFonts w:ascii="宋体" w:hAnsi="宋体"/>
                <w:b/>
                <w:sz w:val="24"/>
              </w:rPr>
            </w:pPr>
          </w:p>
        </w:tc>
        <w:tc>
          <w:tcPr>
            <w:tcW w:w="1575" w:type="dxa"/>
            <w:vAlign w:val="center"/>
          </w:tcPr>
          <w:p>
            <w:pPr>
              <w:spacing w:line="240" w:lineRule="exact"/>
              <w:jc w:val="center"/>
              <w:rPr>
                <w:rFonts w:ascii="宋体" w:hAnsi="宋体"/>
                <w:b/>
                <w:sz w:val="24"/>
              </w:rPr>
            </w:pPr>
          </w:p>
        </w:tc>
        <w:tc>
          <w:tcPr>
            <w:tcW w:w="1183" w:type="dxa"/>
            <w:vAlign w:val="center"/>
          </w:tcPr>
          <w:p>
            <w:pPr>
              <w:spacing w:line="24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68" w:type="dxa"/>
            <w:vMerge w:val="restart"/>
            <w:vAlign w:val="center"/>
          </w:tcPr>
          <w:p>
            <w:pPr>
              <w:spacing w:line="240" w:lineRule="exact"/>
              <w:jc w:val="center"/>
              <w:rPr>
                <w:rFonts w:ascii="宋体" w:hAnsi="宋体"/>
                <w:sz w:val="24"/>
              </w:rPr>
            </w:pPr>
            <w:r>
              <w:rPr>
                <w:rFonts w:hint="eastAsia" w:ascii="宋体" w:hAnsi="宋体"/>
                <w:sz w:val="24"/>
              </w:rPr>
              <w:t>商</w:t>
            </w:r>
          </w:p>
          <w:p>
            <w:pPr>
              <w:spacing w:line="240" w:lineRule="exact"/>
              <w:jc w:val="center"/>
              <w:rPr>
                <w:rFonts w:ascii="宋体" w:hAnsi="宋体"/>
                <w:sz w:val="24"/>
              </w:rPr>
            </w:pPr>
            <w:r>
              <w:rPr>
                <w:rFonts w:hint="eastAsia" w:ascii="宋体" w:hAnsi="宋体"/>
                <w:sz w:val="24"/>
              </w:rPr>
              <w:t>务</w:t>
            </w:r>
          </w:p>
          <w:p>
            <w:pPr>
              <w:spacing w:line="240" w:lineRule="exact"/>
              <w:jc w:val="center"/>
              <w:rPr>
                <w:rFonts w:ascii="宋体" w:hAnsi="宋体"/>
                <w:sz w:val="24"/>
              </w:rPr>
            </w:pPr>
            <w:r>
              <w:rPr>
                <w:rFonts w:hint="eastAsia" w:ascii="宋体" w:hAnsi="宋体"/>
                <w:sz w:val="24"/>
              </w:rPr>
              <w:t>部</w:t>
            </w:r>
          </w:p>
          <w:p>
            <w:pPr>
              <w:spacing w:line="240" w:lineRule="exact"/>
              <w:jc w:val="center"/>
              <w:rPr>
                <w:rFonts w:ascii="宋体" w:hAnsi="宋体"/>
                <w:sz w:val="24"/>
              </w:rPr>
            </w:pPr>
            <w:r>
              <w:rPr>
                <w:rFonts w:hint="eastAsia" w:ascii="宋体" w:hAnsi="宋体"/>
                <w:sz w:val="24"/>
              </w:rPr>
              <w:t>分</w:t>
            </w:r>
          </w:p>
        </w:tc>
        <w:tc>
          <w:tcPr>
            <w:tcW w:w="950" w:type="dxa"/>
            <w:vAlign w:val="center"/>
          </w:tcPr>
          <w:p>
            <w:pPr>
              <w:spacing w:line="240" w:lineRule="exact"/>
              <w:jc w:val="center"/>
              <w:rPr>
                <w:rFonts w:ascii="宋体" w:hAnsi="宋体"/>
                <w:sz w:val="24"/>
              </w:rPr>
            </w:pPr>
          </w:p>
        </w:tc>
        <w:tc>
          <w:tcPr>
            <w:tcW w:w="2058" w:type="dxa"/>
            <w:vAlign w:val="center"/>
          </w:tcPr>
          <w:p>
            <w:pPr>
              <w:spacing w:line="240" w:lineRule="exact"/>
              <w:jc w:val="center"/>
              <w:rPr>
                <w:rFonts w:ascii="宋体" w:hAnsi="宋体"/>
                <w:b/>
                <w:sz w:val="24"/>
              </w:rPr>
            </w:pPr>
          </w:p>
        </w:tc>
        <w:tc>
          <w:tcPr>
            <w:tcW w:w="2384" w:type="dxa"/>
            <w:vAlign w:val="center"/>
          </w:tcPr>
          <w:p>
            <w:pPr>
              <w:spacing w:line="240" w:lineRule="exact"/>
              <w:jc w:val="center"/>
              <w:rPr>
                <w:rFonts w:ascii="宋体" w:hAnsi="宋体"/>
                <w:b/>
                <w:sz w:val="24"/>
              </w:rPr>
            </w:pPr>
          </w:p>
        </w:tc>
        <w:tc>
          <w:tcPr>
            <w:tcW w:w="1575" w:type="dxa"/>
            <w:vAlign w:val="center"/>
          </w:tcPr>
          <w:p>
            <w:pPr>
              <w:spacing w:line="240" w:lineRule="exact"/>
              <w:jc w:val="center"/>
              <w:rPr>
                <w:rFonts w:ascii="宋体" w:hAnsi="宋体"/>
                <w:b/>
                <w:sz w:val="24"/>
              </w:rPr>
            </w:pPr>
          </w:p>
        </w:tc>
        <w:tc>
          <w:tcPr>
            <w:tcW w:w="1183" w:type="dxa"/>
            <w:vAlign w:val="center"/>
          </w:tcPr>
          <w:p>
            <w:pPr>
              <w:spacing w:line="24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68" w:type="dxa"/>
            <w:vMerge w:val="continue"/>
          </w:tcPr>
          <w:p>
            <w:pPr>
              <w:spacing w:line="240" w:lineRule="exact"/>
              <w:rPr>
                <w:rFonts w:ascii="宋体" w:hAnsi="宋体"/>
                <w:b/>
                <w:sz w:val="24"/>
              </w:rPr>
            </w:pPr>
          </w:p>
        </w:tc>
        <w:tc>
          <w:tcPr>
            <w:tcW w:w="950" w:type="dxa"/>
            <w:vAlign w:val="center"/>
          </w:tcPr>
          <w:p>
            <w:pPr>
              <w:spacing w:line="240" w:lineRule="exact"/>
              <w:jc w:val="center"/>
              <w:rPr>
                <w:rFonts w:ascii="宋体" w:hAnsi="宋体"/>
                <w:sz w:val="24"/>
              </w:rPr>
            </w:pPr>
          </w:p>
        </w:tc>
        <w:tc>
          <w:tcPr>
            <w:tcW w:w="2058" w:type="dxa"/>
            <w:vAlign w:val="center"/>
          </w:tcPr>
          <w:p>
            <w:pPr>
              <w:spacing w:line="240" w:lineRule="exact"/>
              <w:jc w:val="center"/>
              <w:rPr>
                <w:rFonts w:ascii="宋体" w:hAnsi="宋体"/>
                <w:b/>
                <w:sz w:val="24"/>
              </w:rPr>
            </w:pPr>
          </w:p>
        </w:tc>
        <w:tc>
          <w:tcPr>
            <w:tcW w:w="2384" w:type="dxa"/>
            <w:vAlign w:val="center"/>
          </w:tcPr>
          <w:p>
            <w:pPr>
              <w:spacing w:line="240" w:lineRule="exact"/>
              <w:jc w:val="center"/>
              <w:rPr>
                <w:rFonts w:ascii="宋体" w:hAnsi="宋体"/>
                <w:b/>
                <w:sz w:val="24"/>
              </w:rPr>
            </w:pPr>
          </w:p>
        </w:tc>
        <w:tc>
          <w:tcPr>
            <w:tcW w:w="1575" w:type="dxa"/>
            <w:vAlign w:val="center"/>
          </w:tcPr>
          <w:p>
            <w:pPr>
              <w:spacing w:line="240" w:lineRule="exact"/>
              <w:jc w:val="center"/>
              <w:rPr>
                <w:rFonts w:ascii="宋体" w:hAnsi="宋体"/>
                <w:b/>
                <w:sz w:val="24"/>
              </w:rPr>
            </w:pPr>
          </w:p>
        </w:tc>
        <w:tc>
          <w:tcPr>
            <w:tcW w:w="1183" w:type="dxa"/>
            <w:vAlign w:val="center"/>
          </w:tcPr>
          <w:p>
            <w:pPr>
              <w:spacing w:line="24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68" w:type="dxa"/>
            <w:vMerge w:val="continue"/>
          </w:tcPr>
          <w:p>
            <w:pPr>
              <w:spacing w:line="240" w:lineRule="exact"/>
              <w:rPr>
                <w:rFonts w:ascii="宋体" w:hAnsi="宋体"/>
                <w:b/>
                <w:sz w:val="24"/>
              </w:rPr>
            </w:pPr>
          </w:p>
        </w:tc>
        <w:tc>
          <w:tcPr>
            <w:tcW w:w="950" w:type="dxa"/>
            <w:vAlign w:val="center"/>
          </w:tcPr>
          <w:p>
            <w:pPr>
              <w:spacing w:line="240" w:lineRule="exact"/>
              <w:jc w:val="center"/>
              <w:rPr>
                <w:rFonts w:ascii="宋体" w:hAnsi="宋体"/>
                <w:sz w:val="24"/>
              </w:rPr>
            </w:pPr>
          </w:p>
        </w:tc>
        <w:tc>
          <w:tcPr>
            <w:tcW w:w="2058" w:type="dxa"/>
            <w:vAlign w:val="center"/>
          </w:tcPr>
          <w:p>
            <w:pPr>
              <w:spacing w:line="240" w:lineRule="exact"/>
              <w:jc w:val="center"/>
              <w:rPr>
                <w:rFonts w:ascii="宋体" w:hAnsi="宋体"/>
                <w:b/>
                <w:sz w:val="24"/>
              </w:rPr>
            </w:pPr>
          </w:p>
        </w:tc>
        <w:tc>
          <w:tcPr>
            <w:tcW w:w="2384" w:type="dxa"/>
            <w:vAlign w:val="center"/>
          </w:tcPr>
          <w:p>
            <w:pPr>
              <w:spacing w:line="240" w:lineRule="exact"/>
              <w:jc w:val="center"/>
              <w:rPr>
                <w:rFonts w:ascii="宋体" w:hAnsi="宋体"/>
                <w:b/>
                <w:sz w:val="24"/>
              </w:rPr>
            </w:pPr>
          </w:p>
        </w:tc>
        <w:tc>
          <w:tcPr>
            <w:tcW w:w="1575" w:type="dxa"/>
            <w:vAlign w:val="center"/>
          </w:tcPr>
          <w:p>
            <w:pPr>
              <w:spacing w:line="240" w:lineRule="exact"/>
              <w:jc w:val="center"/>
              <w:rPr>
                <w:rFonts w:ascii="宋体" w:hAnsi="宋体"/>
                <w:b/>
                <w:sz w:val="24"/>
              </w:rPr>
            </w:pPr>
          </w:p>
        </w:tc>
        <w:tc>
          <w:tcPr>
            <w:tcW w:w="1183" w:type="dxa"/>
            <w:vAlign w:val="center"/>
          </w:tcPr>
          <w:p>
            <w:pPr>
              <w:spacing w:line="240" w:lineRule="exact"/>
              <w:jc w:val="center"/>
              <w:rPr>
                <w:rFonts w:ascii="宋体" w:hAnsi="宋体"/>
                <w:b/>
                <w:sz w:val="24"/>
              </w:rPr>
            </w:pPr>
          </w:p>
        </w:tc>
      </w:tr>
    </w:tbl>
    <w:p>
      <w:pPr>
        <w:spacing w:line="240" w:lineRule="exact"/>
        <w:rPr>
          <w:rFonts w:ascii="宋体" w:hAnsi="宋体"/>
          <w:b/>
          <w:sz w:val="24"/>
        </w:rPr>
      </w:pPr>
    </w:p>
    <w:p>
      <w:pPr>
        <w:spacing w:line="240" w:lineRule="exact"/>
        <w:rPr>
          <w:rFonts w:ascii="宋体" w:hAnsi="宋体"/>
          <w:b/>
          <w:sz w:val="24"/>
        </w:rPr>
      </w:pPr>
    </w:p>
    <w:p>
      <w:pPr>
        <w:spacing w:line="240" w:lineRule="exact"/>
        <w:rPr>
          <w:rFonts w:ascii="宋体" w:hAnsi="宋体"/>
          <w:b/>
          <w:sz w:val="24"/>
        </w:rPr>
      </w:pPr>
    </w:p>
    <w:p>
      <w:pPr>
        <w:spacing w:line="380" w:lineRule="exact"/>
        <w:jc w:val="center"/>
        <w:rPr>
          <w:rFonts w:ascii="宋体" w:hAnsi="宋体"/>
          <w:b/>
          <w:sz w:val="24"/>
        </w:rPr>
      </w:pP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18"/>
        <w:widowControl/>
        <w:adjustRightInd w:val="0"/>
        <w:spacing w:before="75" w:beforeAutospacing="0" w:after="75" w:afterAutospacing="0"/>
        <w:rPr>
          <w:rFonts w:ascii="宋体" w:hAnsi="宋体"/>
          <w:b/>
        </w:rPr>
      </w:pPr>
    </w:p>
    <w:p>
      <w:pPr>
        <w:pStyle w:val="18"/>
        <w:widowControl/>
        <w:adjustRightInd w:val="0"/>
        <w:spacing w:before="75" w:beforeAutospacing="0" w:after="75" w:afterAutospacing="0"/>
        <w:rPr>
          <w:rFonts w:ascii="宋体" w:hAnsi="宋体"/>
          <w:b/>
        </w:rPr>
      </w:pPr>
    </w:p>
    <w:p>
      <w:pPr>
        <w:pStyle w:val="18"/>
        <w:widowControl/>
        <w:adjustRightInd w:val="0"/>
        <w:spacing w:before="75" w:beforeAutospacing="0" w:after="75" w:afterAutospacing="0"/>
        <w:rPr>
          <w:rFonts w:ascii="宋体" w:hAnsi="宋体"/>
          <w:b/>
        </w:rPr>
      </w:pPr>
    </w:p>
    <w:p>
      <w:pPr>
        <w:pStyle w:val="18"/>
        <w:widowControl/>
        <w:adjustRightInd w:val="0"/>
        <w:spacing w:before="75" w:beforeAutospacing="0" w:after="75" w:afterAutospacing="0"/>
        <w:rPr>
          <w:rFonts w:ascii="宋体" w:hAnsi="宋体"/>
          <w:b/>
        </w:rPr>
      </w:pPr>
    </w:p>
    <w:p>
      <w:pPr>
        <w:pStyle w:val="18"/>
        <w:widowControl/>
        <w:adjustRightInd w:val="0"/>
        <w:spacing w:before="75" w:beforeAutospacing="0" w:after="75" w:afterAutospacing="0"/>
        <w:rPr>
          <w:rFonts w:ascii="宋体" w:hAnsi="宋体"/>
          <w:b/>
        </w:rPr>
      </w:pPr>
    </w:p>
    <w:p>
      <w:pPr>
        <w:pStyle w:val="18"/>
        <w:widowControl/>
        <w:adjustRightInd w:val="0"/>
        <w:spacing w:before="75" w:beforeAutospacing="0" w:after="75" w:afterAutospacing="0"/>
        <w:rPr>
          <w:rFonts w:ascii="宋体" w:hAnsi="宋体"/>
          <w:b/>
        </w:rPr>
      </w:pPr>
    </w:p>
    <w:p>
      <w:pPr>
        <w:pStyle w:val="35"/>
        <w:outlineLvl w:val="9"/>
        <w:rPr>
          <w:rFonts w:hAnsi="宋体" w:cs="宋体"/>
          <w:color w:val="000000" w:themeColor="text1"/>
          <w:kern w:val="0"/>
          <w:sz w:val="24"/>
          <w:szCs w:val="24"/>
          <w:shd w:val="clear" w:color="auto" w:fill="FFFFFF"/>
          <w14:textFill>
            <w14:solidFill>
              <w14:schemeClr w14:val="tx1"/>
            </w14:solidFill>
          </w14:textFill>
        </w:rPr>
      </w:pPr>
      <w:r>
        <w:rPr>
          <w:rFonts w:hint="eastAsia" w:hAnsi="宋体" w:cs="宋体"/>
          <w:color w:val="000000" w:themeColor="text1"/>
          <w:kern w:val="0"/>
          <w:sz w:val="24"/>
          <w:szCs w:val="24"/>
          <w:shd w:val="clear" w:color="auto" w:fill="FFFFFF"/>
          <w14:textFill>
            <w14:solidFill>
              <w14:schemeClr w14:val="tx1"/>
            </w14:solidFill>
          </w14:textFill>
        </w:rPr>
        <w:t>附件6</w:t>
      </w:r>
    </w:p>
    <w:p>
      <w:pPr>
        <w:pStyle w:val="35"/>
        <w:outlineLvl w:val="9"/>
        <w:rPr>
          <w:rFonts w:hAnsi="宋体" w:cs="宋体"/>
          <w:color w:val="000000" w:themeColor="text1"/>
          <w:kern w:val="0"/>
          <w:sz w:val="24"/>
          <w:szCs w:val="24"/>
          <w:shd w:val="clear" w:color="auto" w:fill="FFFFFF"/>
          <w14:textFill>
            <w14:solidFill>
              <w14:schemeClr w14:val="tx1"/>
            </w14:solidFill>
          </w14:textFill>
        </w:rPr>
      </w:pPr>
      <w:r>
        <w:rPr>
          <w:rFonts w:hint="eastAsia" w:hAnsi="宋体" w:cs="宋体"/>
          <w:color w:val="000000" w:themeColor="text1"/>
          <w:kern w:val="0"/>
          <w:sz w:val="24"/>
          <w:szCs w:val="24"/>
          <w:shd w:val="clear" w:color="auto" w:fill="FFFFFF"/>
          <w14:textFill>
            <w14:solidFill>
              <w14:schemeClr w14:val="tx1"/>
            </w14:solidFill>
          </w14:textFill>
        </w:rPr>
        <w:t>附件6-1</w:t>
      </w:r>
    </w:p>
    <w:p>
      <w:pPr>
        <w:pStyle w:val="35"/>
        <w:outlineLvl w:val="9"/>
        <w:rPr>
          <w:rStyle w:val="24"/>
          <w:rFonts w:hAnsi="宋体" w:cs="宋体"/>
          <w:color w:val="000000" w:themeColor="text1"/>
          <w:kern w:val="0"/>
          <w:sz w:val="24"/>
          <w:szCs w:val="24"/>
          <w:shd w:val="clear" w:color="auto" w:fill="FFFFFF"/>
          <w14:textFill>
            <w14:solidFill>
              <w14:schemeClr w14:val="tx1"/>
            </w14:solidFill>
          </w14:textFill>
        </w:rPr>
      </w:pPr>
      <w:r>
        <w:rPr>
          <w:rFonts w:hint="eastAsia" w:hAnsi="宋体" w:cs="宋体"/>
          <w:color w:val="000000" w:themeColor="text1"/>
          <w:kern w:val="0"/>
          <w:sz w:val="24"/>
          <w:szCs w:val="24"/>
          <w:shd w:val="clear" w:color="auto" w:fill="FFFFFF"/>
          <w14:textFill>
            <w14:solidFill>
              <w14:schemeClr w14:val="tx1"/>
            </w14:solidFill>
          </w14:textFill>
        </w:rPr>
        <w:t> </w:t>
      </w:r>
      <w:r>
        <w:rPr>
          <w:rFonts w:hint="eastAsia" w:hAnsi="宋体" w:cs="宋体"/>
          <w:color w:val="000000" w:themeColor="text1"/>
          <w:shd w:val="clear" w:color="auto" w:fill="FFFFFF"/>
          <w14:textFill>
            <w14:solidFill>
              <w14:schemeClr w14:val="tx1"/>
            </w14:solidFill>
          </w14:textFill>
        </w:rPr>
        <w:t> </w:t>
      </w:r>
      <w:r>
        <w:rPr>
          <w:rStyle w:val="24"/>
          <w:rFonts w:hint="eastAsia" w:hAnsi="宋体" w:cs="宋体"/>
          <w:color w:val="000000" w:themeColor="text1"/>
          <w:shd w:val="clear" w:color="auto" w:fill="FFFFFF"/>
          <w14:textFill>
            <w14:solidFill>
              <w14:schemeClr w14:val="tx1"/>
            </w14:solidFill>
          </w14:textFill>
        </w:rPr>
        <w:t xml:space="preserve">       </w:t>
      </w:r>
      <w:bookmarkStart w:id="39" w:name="_Toc31375"/>
      <w:bookmarkStart w:id="40" w:name="_Toc10541"/>
      <w:bookmarkStart w:id="41" w:name="_Toc30201"/>
      <w:r>
        <w:rPr>
          <w:rStyle w:val="24"/>
          <w:rFonts w:hint="eastAsia" w:hAnsi="宋体" w:cs="宋体"/>
          <w:color w:val="000000" w:themeColor="text1"/>
          <w:shd w:val="clear" w:color="auto" w:fill="FFFFFF"/>
          <w14:textFill>
            <w14:solidFill>
              <w14:schemeClr w14:val="tx1"/>
            </w14:solidFill>
          </w14:textFill>
        </w:rPr>
        <w:t xml:space="preserve">       </w:t>
      </w:r>
      <w:r>
        <w:rPr>
          <w:rStyle w:val="24"/>
          <w:rFonts w:hint="eastAsia" w:hAnsi="宋体" w:cs="宋体"/>
          <w:color w:val="000000" w:themeColor="text1"/>
          <w:kern w:val="0"/>
          <w:sz w:val="24"/>
          <w:szCs w:val="24"/>
          <w:shd w:val="clear" w:color="auto" w:fill="FFFFFF"/>
          <w14:textFill>
            <w14:solidFill>
              <w14:schemeClr w14:val="tx1"/>
            </w14:solidFill>
          </w14:textFill>
        </w:rPr>
        <w:t>技术和服务要求响应表</w:t>
      </w:r>
      <w:bookmarkEnd w:id="39"/>
      <w:bookmarkEnd w:id="40"/>
      <w:bookmarkEnd w:id="41"/>
    </w:p>
    <w:p>
      <w:pPr>
        <w:pStyle w:val="35"/>
        <w:outlineLvl w:val="9"/>
        <w:rPr>
          <w:rFonts w:hAnsi="宋体"/>
          <w:sz w:val="24"/>
        </w:rPr>
      </w:pPr>
    </w:p>
    <w:p>
      <w:pPr>
        <w:pStyle w:val="35"/>
        <w:outlineLvl w:val="9"/>
        <w:rPr>
          <w:rStyle w:val="24"/>
          <w:rFonts w:hAnsi="宋体" w:cs="宋体"/>
          <w:color w:val="000000" w:themeColor="text1"/>
          <w:kern w:val="0"/>
          <w:sz w:val="24"/>
          <w:szCs w:val="24"/>
          <w:shd w:val="clear" w:color="auto" w:fill="FFFFFF"/>
          <w14:textFill>
            <w14:solidFill>
              <w14:schemeClr w14:val="tx1"/>
            </w14:solidFill>
          </w14:textFill>
        </w:rPr>
      </w:pPr>
      <w:r>
        <w:rPr>
          <w:rFonts w:hint="eastAsia" w:hAnsi="宋体"/>
          <w:sz w:val="24"/>
        </w:rPr>
        <w:t>供应商名称：                          项目编号∶</w:t>
      </w:r>
    </w:p>
    <w:tbl>
      <w:tblPr>
        <w:tblStyle w:val="21"/>
        <w:tblW w:w="8867" w:type="dxa"/>
        <w:tblInd w:w="-11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084"/>
        <w:gridCol w:w="2886"/>
        <w:gridCol w:w="1950"/>
        <w:gridCol w:w="294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14" w:hRule="atLeast"/>
        </w:trPr>
        <w:tc>
          <w:tcPr>
            <w:tcW w:w="10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spacing w:beforeAutospacing="0" w:afterAutospacing="0"/>
              <w:jc w:val="center"/>
              <w:rPr>
                <w:rFonts w:ascii="宋体" w:hAnsi="宋体" w:cs="宋体"/>
              </w:rPr>
            </w:pPr>
            <w:r>
              <w:rPr>
                <w:rFonts w:hint="eastAsia" w:ascii="宋体" w:hAnsi="宋体" w:cs="宋体"/>
              </w:rPr>
              <w:t>合同包</w:t>
            </w:r>
          </w:p>
        </w:tc>
        <w:tc>
          <w:tcPr>
            <w:tcW w:w="288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spacing w:beforeAutospacing="0" w:afterAutospacing="0"/>
              <w:jc w:val="center"/>
              <w:rPr>
                <w:rFonts w:ascii="宋体" w:hAnsi="宋体" w:cs="宋体"/>
              </w:rPr>
            </w:pPr>
            <w:r>
              <w:rPr>
                <w:rFonts w:hint="eastAsia" w:ascii="宋体" w:hAnsi="宋体" w:cs="宋体"/>
              </w:rPr>
              <w:t>技术和服务要求</w:t>
            </w:r>
          </w:p>
        </w:tc>
        <w:tc>
          <w:tcPr>
            <w:tcW w:w="19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spacing w:beforeAutospacing="0" w:afterAutospacing="0"/>
              <w:jc w:val="center"/>
              <w:rPr>
                <w:rFonts w:ascii="宋体" w:hAnsi="宋体" w:cs="宋体"/>
              </w:rPr>
            </w:pPr>
            <w:r>
              <w:rPr>
                <w:rFonts w:hint="eastAsia" w:ascii="宋体" w:hAnsi="宋体" w:cs="宋体"/>
              </w:rPr>
              <w:t>响应情况</w:t>
            </w:r>
          </w:p>
        </w:tc>
        <w:tc>
          <w:tcPr>
            <w:tcW w:w="294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spacing w:beforeAutospacing="0" w:afterAutospacing="0"/>
              <w:jc w:val="center"/>
              <w:rPr>
                <w:rFonts w:ascii="宋体" w:hAnsi="宋体" w:cs="宋体"/>
              </w:rPr>
            </w:pPr>
            <w:r>
              <w:rPr>
                <w:rFonts w:hint="eastAsia" w:ascii="宋体" w:hAnsi="宋体" w:cs="宋体"/>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08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spacing w:beforeAutospacing="0" w:after="150" w:afterAutospacing="0"/>
              <w:jc w:val="center"/>
              <w:rPr>
                <w:rFonts w:ascii="宋体" w:hAnsi="宋体" w:cs="宋体"/>
              </w:rPr>
            </w:pPr>
            <w:r>
              <w:rPr>
                <w:rFonts w:hint="eastAsia" w:ascii="宋体" w:hAnsi="宋体" w:cs="宋体"/>
              </w:rPr>
              <w:t>1</w:t>
            </w:r>
          </w:p>
        </w:tc>
        <w:tc>
          <w:tcPr>
            <w:tcW w:w="2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cs="宋体"/>
                <w:sz w:val="24"/>
              </w:rPr>
            </w:pP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cs="宋体"/>
                <w:sz w:val="24"/>
              </w:rPr>
            </w:pPr>
          </w:p>
        </w:tc>
        <w:tc>
          <w:tcPr>
            <w:tcW w:w="29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cs="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08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spacing w:beforeAutospacing="0" w:after="150" w:afterAutospacing="0"/>
              <w:jc w:val="center"/>
              <w:rPr>
                <w:rFonts w:ascii="宋体" w:hAnsi="宋体" w:cs="宋体"/>
              </w:rPr>
            </w:pPr>
            <w:r>
              <w:rPr>
                <w:rFonts w:hint="eastAsia" w:ascii="宋体" w:hAnsi="宋体" w:cs="宋体"/>
              </w:rPr>
              <w:t>…</w:t>
            </w:r>
          </w:p>
        </w:tc>
        <w:tc>
          <w:tcPr>
            <w:tcW w:w="2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cs="宋体"/>
                <w:sz w:val="24"/>
              </w:rPr>
            </w:pP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cs="宋体"/>
                <w:sz w:val="24"/>
              </w:rPr>
            </w:pPr>
          </w:p>
        </w:tc>
        <w:tc>
          <w:tcPr>
            <w:tcW w:w="29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cs="宋体"/>
                <w:sz w:val="24"/>
              </w:rPr>
            </w:pPr>
          </w:p>
        </w:tc>
      </w:tr>
    </w:tbl>
    <w:p>
      <w:pPr>
        <w:pStyle w:val="18"/>
        <w:spacing w:beforeAutospacing="0" w:after="150" w:afterAutospacing="0"/>
        <w:ind w:left="-362" w:right="-362"/>
        <w:rPr>
          <w:rFonts w:ascii="宋体" w:hAnsi="宋体" w:cs="宋体"/>
        </w:rPr>
      </w:pPr>
      <w:r>
        <w:rPr>
          <w:rFonts w:hint="eastAsia" w:ascii="宋体" w:hAnsi="宋体" w:cs="宋体"/>
          <w:shd w:val="clear" w:color="auto" w:fill="FFFFFF"/>
        </w:rPr>
        <w:t>注意：</w:t>
      </w:r>
    </w:p>
    <w:p>
      <w:pPr>
        <w:pStyle w:val="18"/>
        <w:spacing w:beforeAutospacing="0" w:after="150" w:afterAutospacing="0"/>
        <w:ind w:left="-362" w:right="-362"/>
        <w:rPr>
          <w:rFonts w:ascii="宋体" w:hAnsi="宋体" w:cs="宋体"/>
        </w:rPr>
      </w:pPr>
      <w:r>
        <w:rPr>
          <w:rFonts w:hint="eastAsia" w:ascii="宋体" w:hAnsi="宋体" w:cs="宋体"/>
          <w:shd w:val="clear" w:color="auto" w:fill="FFFFFF"/>
        </w:rPr>
        <w:t>1、本表应按照下列规定填写：</w:t>
      </w:r>
    </w:p>
    <w:p>
      <w:pPr>
        <w:pStyle w:val="18"/>
        <w:spacing w:beforeAutospacing="0" w:after="150" w:afterAutospacing="0"/>
        <w:ind w:left="-362" w:right="-362"/>
        <w:rPr>
          <w:rFonts w:ascii="宋体" w:hAnsi="宋体" w:cs="宋体"/>
          <w:shd w:val="clear" w:color="auto" w:fill="FFFFFF"/>
        </w:rPr>
      </w:pPr>
      <w:r>
        <w:rPr>
          <w:rFonts w:hint="eastAsia" w:ascii="宋体" w:hAnsi="宋体" w:cs="宋体"/>
          <w:shd w:val="clear" w:color="auto" w:fill="FFFFFF"/>
        </w:rPr>
        <w:t>1.1“技术和服务要求”项下填写的内容应与磋商文件第三章“技术和服务要求”的内容保持一致。</w:t>
      </w:r>
    </w:p>
    <w:p>
      <w:pPr>
        <w:pStyle w:val="18"/>
        <w:spacing w:beforeAutospacing="0" w:after="150" w:afterAutospacing="0"/>
        <w:ind w:left="-362" w:right="-362"/>
        <w:rPr>
          <w:rFonts w:ascii="宋体" w:hAnsi="宋体" w:cs="宋体"/>
        </w:rPr>
      </w:pPr>
      <w:r>
        <w:rPr>
          <w:rFonts w:hint="eastAsia" w:ascii="宋体" w:hAnsi="宋体" w:cs="宋体"/>
          <w:shd w:val="clear" w:color="auto" w:fill="FFFFFF"/>
        </w:rPr>
        <w:t>1.2“</w:t>
      </w:r>
      <w:r>
        <w:rPr>
          <w:rFonts w:hint="eastAsia" w:ascii="宋体" w:hAnsi="宋体" w:cs="宋体"/>
        </w:rPr>
        <w:t>响应情况</w:t>
      </w:r>
      <w:r>
        <w:rPr>
          <w:rFonts w:hint="eastAsia" w:ascii="宋体" w:hAnsi="宋体" w:cs="宋体"/>
          <w:shd w:val="clear" w:color="auto" w:fill="FFFFFF"/>
        </w:rPr>
        <w:t>”项下应填写具体的响应内容并与“技术和服务要求”项下填写的内容逐项对应。</w:t>
      </w:r>
    </w:p>
    <w:p>
      <w:pPr>
        <w:pStyle w:val="18"/>
        <w:spacing w:beforeAutospacing="0" w:after="150" w:afterAutospacing="0"/>
        <w:ind w:left="-362" w:right="-362"/>
        <w:rPr>
          <w:rFonts w:ascii="宋体" w:hAnsi="宋体" w:cs="宋体"/>
        </w:rPr>
      </w:pPr>
      <w:r>
        <w:rPr>
          <w:rFonts w:hint="eastAsia" w:ascii="宋体" w:hAnsi="宋体" w:cs="宋体"/>
          <w:shd w:val="clear" w:color="auto" w:fill="FFFFFF"/>
        </w:rPr>
        <w:t>1.3“是否偏离及说明”项下应按下列规定填写：优于的，填写“正偏离”；符合的，填写“无偏离”；低于的，填写“负偏离”。</w:t>
      </w:r>
    </w:p>
    <w:p>
      <w:pPr>
        <w:pStyle w:val="18"/>
        <w:spacing w:beforeAutospacing="0" w:after="150" w:afterAutospacing="0"/>
        <w:ind w:left="-362" w:right="-362"/>
        <w:rPr>
          <w:rFonts w:ascii="宋体" w:hAnsi="宋体" w:cs="宋体"/>
          <w:shd w:val="clear" w:color="auto" w:fill="FFFFFF"/>
        </w:rPr>
      </w:pPr>
      <w:r>
        <w:rPr>
          <w:rFonts w:hint="eastAsia" w:ascii="宋体" w:hAnsi="宋体" w:cs="宋体"/>
          <w:shd w:val="clear" w:color="auto" w:fill="FFFFFF"/>
        </w:rPr>
        <w:t>2、供应商需要说明的内容若需特殊表达，应先在本表中进行相应说明，再另页应答。</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spacing w:line="380" w:lineRule="exact"/>
        <w:rPr>
          <w:rFonts w:ascii="宋体" w:hAnsi="宋体" w:cs="宋体"/>
        </w:rPr>
      </w:pPr>
    </w:p>
    <w:p>
      <w:pPr>
        <w:pStyle w:val="8"/>
        <w:rPr>
          <w:rFonts w:ascii="宋体" w:hAnsi="宋体" w:cs="宋体"/>
        </w:rPr>
      </w:pPr>
    </w:p>
    <w:p>
      <w:pPr>
        <w:pStyle w:val="16"/>
        <w:rPr>
          <w:rFonts w:ascii="宋体" w:hAnsi="宋体" w:cs="宋体"/>
        </w:rPr>
      </w:pPr>
    </w:p>
    <w:p>
      <w:pPr>
        <w:rPr>
          <w:rFonts w:ascii="宋体" w:hAnsi="宋体" w:cs="宋体"/>
        </w:rPr>
      </w:pPr>
    </w:p>
    <w:p>
      <w:pPr>
        <w:pStyle w:val="8"/>
        <w:rPr>
          <w:rFonts w:ascii="宋体" w:hAnsi="宋体" w:cs="宋体"/>
        </w:rPr>
      </w:pPr>
    </w:p>
    <w:p>
      <w:pPr>
        <w:pStyle w:val="16"/>
        <w:rPr>
          <w:rFonts w:ascii="宋体" w:hAnsi="宋体" w:cs="宋体"/>
        </w:rPr>
      </w:pPr>
    </w:p>
    <w:p>
      <w:pPr>
        <w:rPr>
          <w:rFonts w:ascii="宋体" w:hAnsi="宋体" w:cs="宋体"/>
        </w:rPr>
      </w:pPr>
    </w:p>
    <w:p>
      <w:pPr>
        <w:pStyle w:val="8"/>
        <w:rPr>
          <w:rFonts w:ascii="宋体" w:hAnsi="宋体" w:cs="宋体"/>
        </w:rPr>
      </w:pPr>
    </w:p>
    <w:p>
      <w:pPr>
        <w:pStyle w:val="16"/>
        <w:rPr>
          <w:rFonts w:ascii="宋体" w:hAnsi="宋体" w:cs="宋体"/>
        </w:rPr>
      </w:pPr>
    </w:p>
    <w:p>
      <w:pPr>
        <w:pStyle w:val="35"/>
        <w:outlineLvl w:val="9"/>
        <w:rPr>
          <w:rStyle w:val="24"/>
          <w:rFonts w:hAnsi="宋体" w:cs="宋体"/>
          <w:color w:val="000000" w:themeColor="text1"/>
          <w:kern w:val="0"/>
          <w:sz w:val="24"/>
          <w:szCs w:val="24"/>
          <w:shd w:val="clear" w:color="auto" w:fill="FFFFFF"/>
          <w14:textFill>
            <w14:solidFill>
              <w14:schemeClr w14:val="tx1"/>
            </w14:solidFill>
          </w14:textFill>
        </w:rPr>
      </w:pPr>
      <w:bookmarkStart w:id="42" w:name="_Toc12046"/>
      <w:bookmarkStart w:id="43" w:name="_Toc30618"/>
      <w:bookmarkStart w:id="44" w:name="_Toc25403"/>
      <w:r>
        <w:rPr>
          <w:rFonts w:hint="eastAsia" w:hAnsi="宋体" w:cs="宋体"/>
          <w:color w:val="000000" w:themeColor="text1"/>
          <w:kern w:val="0"/>
          <w:sz w:val="24"/>
          <w:szCs w:val="24"/>
          <w:shd w:val="clear" w:color="auto" w:fill="FFFFFF"/>
          <w14:textFill>
            <w14:solidFill>
              <w14:schemeClr w14:val="tx1"/>
            </w14:solidFill>
          </w14:textFill>
        </w:rPr>
        <w:t>附件6-2</w:t>
      </w:r>
      <w:r>
        <w:rPr>
          <w:rStyle w:val="24"/>
          <w:rFonts w:hint="eastAsia" w:hAnsi="宋体" w:cs="宋体"/>
          <w:color w:val="000000" w:themeColor="text1"/>
          <w:kern w:val="0"/>
          <w:sz w:val="24"/>
          <w:szCs w:val="24"/>
          <w:shd w:val="clear" w:color="auto" w:fill="FFFFFF"/>
          <w14:textFill>
            <w14:solidFill>
              <w14:schemeClr w14:val="tx1"/>
            </w14:solidFill>
          </w14:textFill>
        </w:rPr>
        <w:t>                       商务条件响应表</w:t>
      </w:r>
      <w:bookmarkEnd w:id="42"/>
      <w:bookmarkEnd w:id="43"/>
      <w:bookmarkEnd w:id="44"/>
    </w:p>
    <w:p>
      <w:pPr>
        <w:pStyle w:val="35"/>
        <w:outlineLvl w:val="9"/>
        <w:rPr>
          <w:rFonts w:hAnsi="宋体"/>
          <w:sz w:val="24"/>
        </w:rPr>
      </w:pPr>
    </w:p>
    <w:p>
      <w:pPr>
        <w:pStyle w:val="35"/>
        <w:outlineLvl w:val="9"/>
        <w:rPr>
          <w:rFonts w:hAnsi="宋体" w:cs="宋体"/>
          <w:sz w:val="24"/>
          <w:szCs w:val="24"/>
        </w:rPr>
      </w:pPr>
    </w:p>
    <w:p>
      <w:pPr>
        <w:pStyle w:val="35"/>
        <w:outlineLvl w:val="9"/>
        <w:rPr>
          <w:rStyle w:val="24"/>
          <w:rFonts w:hAnsi="宋体" w:cs="宋体"/>
          <w:color w:val="000000" w:themeColor="text1"/>
          <w:kern w:val="0"/>
          <w:sz w:val="24"/>
          <w:szCs w:val="24"/>
          <w:shd w:val="clear" w:color="auto" w:fill="FFFFFF"/>
          <w14:textFill>
            <w14:solidFill>
              <w14:schemeClr w14:val="tx1"/>
            </w14:solidFill>
          </w14:textFill>
        </w:rPr>
      </w:pPr>
      <w:r>
        <w:rPr>
          <w:rFonts w:hint="eastAsia" w:hAnsi="宋体" w:cs="宋体"/>
          <w:sz w:val="24"/>
          <w:szCs w:val="24"/>
        </w:rPr>
        <w:t>供应商名称：                          项目编号：</w:t>
      </w:r>
    </w:p>
    <w:tbl>
      <w:tblPr>
        <w:tblStyle w:val="21"/>
        <w:tblW w:w="8867" w:type="dxa"/>
        <w:tblInd w:w="-11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084"/>
        <w:gridCol w:w="2886"/>
        <w:gridCol w:w="1950"/>
        <w:gridCol w:w="294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14" w:hRule="atLeast"/>
        </w:trPr>
        <w:tc>
          <w:tcPr>
            <w:tcW w:w="10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spacing w:beforeAutospacing="0" w:afterAutospacing="0"/>
              <w:jc w:val="center"/>
              <w:rPr>
                <w:rFonts w:ascii="宋体" w:hAnsi="宋体" w:cs="宋体"/>
              </w:rPr>
            </w:pPr>
            <w:r>
              <w:rPr>
                <w:rFonts w:hint="eastAsia" w:ascii="宋体" w:hAnsi="宋体" w:cs="宋体"/>
              </w:rPr>
              <w:t>合同包</w:t>
            </w:r>
          </w:p>
        </w:tc>
        <w:tc>
          <w:tcPr>
            <w:tcW w:w="288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spacing w:beforeAutospacing="0" w:afterAutospacing="0"/>
              <w:jc w:val="center"/>
              <w:rPr>
                <w:rFonts w:ascii="宋体" w:hAnsi="宋体" w:cs="宋体"/>
              </w:rPr>
            </w:pPr>
            <w:r>
              <w:rPr>
                <w:rFonts w:hint="eastAsia" w:ascii="宋体" w:hAnsi="宋体" w:cs="宋体"/>
              </w:rPr>
              <w:t>商务条件</w:t>
            </w:r>
          </w:p>
        </w:tc>
        <w:tc>
          <w:tcPr>
            <w:tcW w:w="19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spacing w:beforeAutospacing="0" w:afterAutospacing="0"/>
              <w:jc w:val="center"/>
              <w:rPr>
                <w:rFonts w:ascii="宋体" w:hAnsi="宋体" w:cs="宋体"/>
              </w:rPr>
            </w:pPr>
            <w:r>
              <w:rPr>
                <w:rFonts w:hint="eastAsia" w:ascii="宋体" w:hAnsi="宋体" w:cs="宋体"/>
              </w:rPr>
              <w:t>响应情况</w:t>
            </w:r>
          </w:p>
        </w:tc>
        <w:tc>
          <w:tcPr>
            <w:tcW w:w="294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spacing w:beforeAutospacing="0" w:afterAutospacing="0"/>
              <w:jc w:val="center"/>
              <w:rPr>
                <w:rFonts w:ascii="宋体" w:hAnsi="宋体" w:cs="宋体"/>
              </w:rPr>
            </w:pPr>
            <w:r>
              <w:rPr>
                <w:rFonts w:hint="eastAsia" w:ascii="宋体" w:hAnsi="宋体" w:cs="宋体"/>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08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spacing w:beforeAutospacing="0" w:after="150" w:afterAutospacing="0"/>
              <w:jc w:val="center"/>
              <w:rPr>
                <w:rFonts w:ascii="宋体" w:hAnsi="宋体" w:cs="宋体"/>
              </w:rPr>
            </w:pPr>
            <w:r>
              <w:rPr>
                <w:rFonts w:hint="eastAsia" w:ascii="宋体" w:hAnsi="宋体" w:cs="宋体"/>
              </w:rPr>
              <w:t>1</w:t>
            </w:r>
          </w:p>
        </w:tc>
        <w:tc>
          <w:tcPr>
            <w:tcW w:w="2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cs="宋体"/>
                <w:sz w:val="24"/>
              </w:rPr>
            </w:pP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cs="宋体"/>
                <w:sz w:val="24"/>
              </w:rPr>
            </w:pPr>
          </w:p>
        </w:tc>
        <w:tc>
          <w:tcPr>
            <w:tcW w:w="29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cs="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08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spacing w:beforeAutospacing="0" w:after="150" w:afterAutospacing="0"/>
              <w:jc w:val="center"/>
              <w:rPr>
                <w:rFonts w:ascii="宋体" w:hAnsi="宋体" w:cs="宋体"/>
              </w:rPr>
            </w:pPr>
            <w:r>
              <w:rPr>
                <w:rFonts w:hint="eastAsia" w:ascii="宋体" w:hAnsi="宋体" w:cs="宋体"/>
              </w:rPr>
              <w:t>…</w:t>
            </w:r>
          </w:p>
        </w:tc>
        <w:tc>
          <w:tcPr>
            <w:tcW w:w="2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cs="宋体"/>
                <w:sz w:val="24"/>
              </w:rPr>
            </w:pP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cs="宋体"/>
                <w:sz w:val="24"/>
              </w:rPr>
            </w:pPr>
          </w:p>
        </w:tc>
        <w:tc>
          <w:tcPr>
            <w:tcW w:w="29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cs="宋体"/>
                <w:sz w:val="24"/>
              </w:rPr>
            </w:pPr>
          </w:p>
        </w:tc>
      </w:tr>
    </w:tbl>
    <w:p>
      <w:pPr>
        <w:pStyle w:val="18"/>
        <w:spacing w:beforeAutospacing="0" w:after="150" w:afterAutospacing="0"/>
        <w:ind w:left="-362" w:right="-362" w:firstLine="480" w:firstLineChars="200"/>
        <w:rPr>
          <w:rFonts w:ascii="宋体" w:hAnsi="宋体" w:cs="宋体"/>
          <w:u w:val="single"/>
          <w:shd w:val="clear" w:color="auto" w:fill="FFFFFF"/>
        </w:rPr>
      </w:pPr>
    </w:p>
    <w:p>
      <w:pPr>
        <w:pStyle w:val="18"/>
        <w:spacing w:beforeAutospacing="0" w:after="150" w:afterAutospacing="0"/>
        <w:ind w:left="-362" w:right="-362"/>
        <w:rPr>
          <w:rFonts w:ascii="宋体" w:hAnsi="宋体" w:cs="宋体"/>
        </w:rPr>
      </w:pPr>
      <w:r>
        <w:rPr>
          <w:rFonts w:hint="eastAsia" w:ascii="宋体" w:hAnsi="宋体" w:cs="宋体"/>
          <w:shd w:val="clear" w:color="auto" w:fill="FFFFFF"/>
        </w:rPr>
        <w:t>注意：</w:t>
      </w:r>
    </w:p>
    <w:p>
      <w:pPr>
        <w:pStyle w:val="18"/>
        <w:spacing w:beforeAutospacing="0" w:after="150" w:afterAutospacing="0"/>
        <w:ind w:left="-362" w:right="-362"/>
        <w:rPr>
          <w:rFonts w:ascii="宋体" w:hAnsi="宋体" w:cs="宋体"/>
        </w:rPr>
      </w:pPr>
      <w:r>
        <w:rPr>
          <w:rFonts w:hint="eastAsia" w:ascii="宋体" w:hAnsi="宋体" w:cs="宋体"/>
          <w:shd w:val="clear" w:color="auto" w:fill="FFFFFF"/>
        </w:rPr>
        <w:t>1、本表应按照下列规定填写：</w:t>
      </w:r>
    </w:p>
    <w:p>
      <w:pPr>
        <w:pStyle w:val="18"/>
        <w:spacing w:after="150"/>
        <w:ind w:left="-362" w:right="-362"/>
        <w:rPr>
          <w:rFonts w:ascii="宋体" w:hAnsi="宋体" w:cs="宋体"/>
          <w:shd w:val="clear" w:color="auto" w:fill="FFFFFF"/>
        </w:rPr>
      </w:pPr>
      <w:r>
        <w:rPr>
          <w:rFonts w:hint="eastAsia" w:ascii="宋体" w:hAnsi="宋体" w:cs="宋体"/>
          <w:shd w:val="clear" w:color="auto" w:fill="FFFFFF"/>
        </w:rPr>
        <w:t>1.1“商务条件”项下填写的内容应与磋商文件第三章“商务条件”的内容保持一致。</w:t>
      </w:r>
    </w:p>
    <w:p>
      <w:pPr>
        <w:pStyle w:val="18"/>
        <w:spacing w:beforeAutospacing="0" w:after="150" w:afterAutospacing="0"/>
        <w:ind w:left="-362" w:right="-362"/>
        <w:rPr>
          <w:rFonts w:ascii="宋体" w:hAnsi="宋体" w:cs="宋体"/>
        </w:rPr>
      </w:pPr>
      <w:r>
        <w:rPr>
          <w:rFonts w:hint="eastAsia" w:ascii="宋体" w:hAnsi="宋体" w:cs="宋体"/>
          <w:shd w:val="clear" w:color="auto" w:fill="FFFFFF"/>
        </w:rPr>
        <w:t>1.2“</w:t>
      </w:r>
      <w:r>
        <w:rPr>
          <w:rFonts w:hint="eastAsia" w:ascii="宋体" w:hAnsi="宋体" w:cs="宋体"/>
        </w:rPr>
        <w:t>响应情况</w:t>
      </w:r>
      <w:r>
        <w:rPr>
          <w:rFonts w:hint="eastAsia" w:ascii="宋体" w:hAnsi="宋体" w:cs="宋体"/>
          <w:shd w:val="clear" w:color="auto" w:fill="FFFFFF"/>
        </w:rPr>
        <w:t>”项下应填写具体的响应内容并与“商务条件”项下填写的内容逐项对应。</w:t>
      </w:r>
    </w:p>
    <w:p>
      <w:pPr>
        <w:pStyle w:val="18"/>
        <w:spacing w:beforeAutospacing="0" w:after="150" w:afterAutospacing="0"/>
        <w:ind w:left="-362" w:right="-362"/>
        <w:rPr>
          <w:rFonts w:ascii="宋体" w:hAnsi="宋体" w:cs="宋体"/>
        </w:rPr>
      </w:pPr>
      <w:r>
        <w:rPr>
          <w:rFonts w:hint="eastAsia" w:ascii="宋体" w:hAnsi="宋体" w:cs="宋体"/>
          <w:shd w:val="clear" w:color="auto" w:fill="FFFFFF"/>
        </w:rPr>
        <w:t>1.3“是否偏离及说明”项下应按下列规定填写：优于的，填写“正偏离”；符合的，填写“无偏离”；低于的，填写“负偏离”。</w:t>
      </w:r>
    </w:p>
    <w:p>
      <w:pPr>
        <w:pStyle w:val="18"/>
        <w:spacing w:beforeAutospacing="0" w:after="150" w:afterAutospacing="0"/>
        <w:ind w:left="-362" w:right="-362"/>
        <w:rPr>
          <w:rFonts w:ascii="宋体" w:hAnsi="宋体" w:cs="宋体"/>
        </w:rPr>
      </w:pPr>
      <w:r>
        <w:rPr>
          <w:rFonts w:hint="eastAsia" w:ascii="宋体" w:hAnsi="宋体" w:cs="宋体"/>
          <w:shd w:val="clear" w:color="auto" w:fill="FFFFFF"/>
        </w:rPr>
        <w:t>2、供应商需要说明的内容若需特殊表达，应先在本表中进行相应说明，再另页应答。</w:t>
      </w:r>
    </w:p>
    <w:p>
      <w:pPr>
        <w:tabs>
          <w:tab w:val="left" w:pos="5355"/>
        </w:tabs>
        <w:ind w:firstLine="480" w:firstLineChars="200"/>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18"/>
        <w:widowControl/>
        <w:adjustRightInd w:val="0"/>
        <w:spacing w:before="75" w:beforeAutospacing="0" w:after="75" w:afterAutospacing="0" w:line="37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37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37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37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37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37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37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37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2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附件7    </w:t>
      </w:r>
      <w:r>
        <w:rPr>
          <w:rStyle w:val="24"/>
          <w:rFonts w:hint="eastAsia" w:ascii="宋体" w:hAnsi="宋体" w:cs="宋体"/>
          <w:color w:val="000000" w:themeColor="text1"/>
          <w:shd w:val="clear" w:color="auto" w:fill="FFFFFF"/>
          <w14:textFill>
            <w14:solidFill>
              <w14:schemeClr w14:val="tx1"/>
            </w14:solidFill>
          </w14:textFill>
        </w:rPr>
        <w:t>     相关技术、商务、服务响应承诺及资料</w:t>
      </w:r>
    </w:p>
    <w:p>
      <w:pPr>
        <w:pStyle w:val="18"/>
        <w:widowControl/>
        <w:adjustRightInd w:val="0"/>
        <w:spacing w:before="75" w:beforeAutospacing="0" w:after="75" w:afterAutospacing="0" w:line="495" w:lineRule="atLeas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说明：    </w:t>
      </w:r>
    </w:p>
    <w:p>
      <w:pPr>
        <w:pStyle w:val="18"/>
        <w:widowControl/>
        <w:adjustRightInd w:val="0"/>
        <w:spacing w:before="75" w:beforeAutospacing="0" w:after="75" w:afterAutospacing="0" w:line="49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18"/>
        <w:widowControl/>
        <w:adjustRightInd w:val="0"/>
        <w:spacing w:before="75" w:beforeAutospacing="0" w:after="75" w:afterAutospacing="0" w:line="49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2.如果没有特别要求的，供应商根据磋商文件的要求以及特点，提供相关技术、商务、服务响应承诺及资料，格式自拟。</w:t>
      </w:r>
    </w:p>
    <w:p>
      <w:pPr>
        <w:pStyle w:val="18"/>
        <w:widowControl/>
        <w:adjustRightInd w:val="0"/>
        <w:spacing w:before="75" w:beforeAutospacing="0" w:after="75" w:afterAutospacing="0" w:line="495" w:lineRule="atLeas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95" w:lineRule="atLeas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20"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20"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35" w:lineRule="atLeast"/>
        <w:jc w:val="both"/>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18"/>
        <w:widowControl/>
        <w:adjustRightInd w:val="0"/>
        <w:spacing w:before="75" w:beforeAutospacing="0" w:after="75" w:afterAutospacing="0" w:line="420"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9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95" w:lineRule="atLeas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95" w:lineRule="atLeas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line="495" w:lineRule="atLeast"/>
        <w:rPr>
          <w:rFonts w:ascii="宋体" w:hAnsi="宋体" w:cs="宋体"/>
          <w:color w:val="000000" w:themeColor="text1"/>
          <w14:textFill>
            <w14:solidFill>
              <w14:schemeClr w14:val="tx1"/>
            </w14:solidFill>
          </w14:textFill>
        </w:rPr>
      </w:pPr>
      <w:r>
        <w:rPr>
          <w:rStyle w:val="24"/>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w:t>
      </w: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rPr>
          <w:rFonts w:ascii="宋体" w:hAnsi="宋体" w:cs="宋体"/>
          <w:color w:val="000000" w:themeColor="text1"/>
          <w:shd w:val="clear" w:color="auto" w:fill="FFFFFF"/>
          <w14:textFill>
            <w14:solidFill>
              <w14:schemeClr w14:val="tx1"/>
            </w14:solidFill>
          </w14:textFill>
        </w:rPr>
      </w:pPr>
    </w:p>
    <w:p>
      <w:pPr>
        <w:pStyle w:val="18"/>
        <w:widowControl/>
        <w:adjustRightInd w:val="0"/>
        <w:spacing w:before="75" w:beforeAutospacing="0" w:after="75" w:afterAutospacing="0" w:line="420" w:lineRule="atLeas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xml:space="preserve">附件8                 </w:t>
      </w:r>
      <w:r>
        <w:rPr>
          <w:rStyle w:val="24"/>
          <w:rFonts w:hint="eastAsia" w:ascii="宋体" w:hAnsi="宋体" w:cs="宋体"/>
          <w:color w:val="000000" w:themeColor="text1"/>
          <w:shd w:val="clear" w:color="auto" w:fill="FFFFFF"/>
          <w14:textFill>
            <w14:solidFill>
              <w14:schemeClr w14:val="tx1"/>
            </w14:solidFill>
          </w14:textFill>
        </w:rPr>
        <w:t xml:space="preserve"> 供应商提交的其他资料</w:t>
      </w:r>
    </w:p>
    <w:p>
      <w:pPr>
        <w:pStyle w:val="18"/>
        <w:widowControl/>
        <w:adjustRightInd w:val="0"/>
        <w:spacing w:before="75" w:beforeAutospacing="0" w:after="75" w:afterAutospacing="0" w:line="420" w:lineRule="atLeast"/>
        <w:rPr>
          <w:rFonts w:ascii="宋体" w:hAnsi="宋体" w:cs="宋体"/>
          <w:color w:val="000000" w:themeColor="text1"/>
          <w14:textFill>
            <w14:solidFill>
              <w14:schemeClr w14:val="tx1"/>
            </w14:solidFill>
          </w14:textFill>
        </w:rPr>
      </w:pPr>
    </w:p>
    <w:p>
      <w:pPr>
        <w:spacing w:line="360" w:lineRule="auto"/>
        <w:ind w:firstLine="480"/>
        <w:rPr>
          <w:rFonts w:ascii="宋体" w:hAnsi="宋体"/>
          <w:sz w:val="24"/>
        </w:rPr>
      </w:pPr>
      <w:r>
        <w:rPr>
          <w:rFonts w:hint="eastAsia" w:ascii="宋体" w:hAnsi="宋体" w:cs="宋体"/>
          <w:color w:val="000000" w:themeColor="text1"/>
          <w:shd w:val="clear" w:color="auto" w:fill="FFFFFF"/>
          <w14:textFill>
            <w14:solidFill>
              <w14:schemeClr w14:val="tx1"/>
            </w14:solidFill>
          </w14:textFill>
        </w:rPr>
        <w:t> </w:t>
      </w:r>
      <w:r>
        <w:rPr>
          <w:rFonts w:hint="eastAsia" w:ascii="宋体" w:hAnsi="宋体"/>
          <w:sz w:val="24"/>
        </w:rPr>
        <w:t>供应商认为应提交的其他材料（如技术和商务部分评分中涉及的相关证明材料），可在此附件中提交。</w:t>
      </w: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18"/>
        <w:widowControl/>
        <w:adjustRightInd w:val="0"/>
        <w:spacing w:before="75" w:beforeAutospacing="0" w:after="75" w:afterAutospacing="0" w:line="465" w:lineRule="atLeast"/>
        <w:rPr>
          <w:rFonts w:ascii="宋体" w:hAnsi="宋体" w:cs="宋体"/>
          <w:color w:val="000000" w:themeColor="text1"/>
          <w14:textFill>
            <w14:solidFill>
              <w14:schemeClr w14:val="tx1"/>
            </w14:solidFill>
          </w14:textFill>
        </w:rPr>
      </w:pPr>
    </w:p>
    <w:p>
      <w:pPr>
        <w:pStyle w:val="36"/>
        <w:adjustRightInd w:val="0"/>
        <w:snapToGrid w:val="0"/>
        <w:spacing w:line="500" w:lineRule="exact"/>
        <w:ind w:firstLine="0" w:firstLineChars="0"/>
        <w:jc w:val="both"/>
        <w:rPr>
          <w:sz w:val="24"/>
          <w:szCs w:val="24"/>
        </w:rPr>
      </w:pPr>
      <w:r>
        <w:rPr>
          <w:rFonts w:hint="eastAsia"/>
          <w:bCs/>
          <w:sz w:val="24"/>
          <w:szCs w:val="24"/>
        </w:rPr>
        <w:t xml:space="preserve">附件8-1                  </w:t>
      </w:r>
      <w:r>
        <w:rPr>
          <w:b/>
          <w:sz w:val="24"/>
          <w:szCs w:val="24"/>
        </w:rPr>
        <w:t>项目</w:t>
      </w:r>
      <w:r>
        <w:rPr>
          <w:rFonts w:hint="eastAsia"/>
          <w:b/>
          <w:sz w:val="24"/>
          <w:szCs w:val="24"/>
        </w:rPr>
        <w:t>团队</w:t>
      </w:r>
      <w:r>
        <w:rPr>
          <w:b/>
          <w:sz w:val="24"/>
          <w:szCs w:val="24"/>
        </w:rPr>
        <w:t>人员汇总表</w:t>
      </w:r>
    </w:p>
    <w:tbl>
      <w:tblPr>
        <w:tblStyle w:val="21"/>
        <w:tblpPr w:leftFromText="180" w:rightFromText="180" w:vertAnchor="text" w:horzAnchor="margin" w:tblpY="1037"/>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92"/>
        <w:gridCol w:w="816"/>
        <w:gridCol w:w="816"/>
        <w:gridCol w:w="1308"/>
        <w:gridCol w:w="1140"/>
        <w:gridCol w:w="152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3" w:type="dxa"/>
            <w:vAlign w:val="center"/>
          </w:tcPr>
          <w:p>
            <w:pPr>
              <w:jc w:val="center"/>
              <w:rPr>
                <w:rFonts w:ascii="Times New Roman" w:hAnsi="Times New Roman"/>
                <w:sz w:val="24"/>
              </w:rPr>
            </w:pPr>
            <w:r>
              <w:rPr>
                <w:rFonts w:ascii="Times New Roman" w:hAnsi="Times New Roman"/>
                <w:sz w:val="24"/>
              </w:rPr>
              <w:t>序号</w:t>
            </w:r>
          </w:p>
        </w:tc>
        <w:tc>
          <w:tcPr>
            <w:tcW w:w="1392" w:type="dxa"/>
            <w:vAlign w:val="center"/>
          </w:tcPr>
          <w:p>
            <w:pPr>
              <w:jc w:val="center"/>
              <w:rPr>
                <w:rFonts w:ascii="Times New Roman" w:hAnsi="Times New Roman"/>
                <w:sz w:val="24"/>
              </w:rPr>
            </w:pPr>
            <w:r>
              <w:rPr>
                <w:rFonts w:ascii="Times New Roman" w:hAnsi="Times New Roman"/>
                <w:sz w:val="24"/>
              </w:rPr>
              <w:t>姓名</w:t>
            </w:r>
          </w:p>
        </w:tc>
        <w:tc>
          <w:tcPr>
            <w:tcW w:w="816" w:type="dxa"/>
            <w:vAlign w:val="center"/>
          </w:tcPr>
          <w:p>
            <w:pPr>
              <w:jc w:val="center"/>
              <w:rPr>
                <w:rFonts w:ascii="Times New Roman" w:hAnsi="Times New Roman"/>
                <w:sz w:val="24"/>
              </w:rPr>
            </w:pPr>
            <w:r>
              <w:rPr>
                <w:rFonts w:hint="eastAsia" w:ascii="Times New Roman" w:hAnsi="Times New Roman"/>
                <w:sz w:val="24"/>
              </w:rPr>
              <w:t>性别</w:t>
            </w:r>
          </w:p>
        </w:tc>
        <w:tc>
          <w:tcPr>
            <w:tcW w:w="816" w:type="dxa"/>
            <w:vAlign w:val="center"/>
          </w:tcPr>
          <w:p>
            <w:pPr>
              <w:jc w:val="center"/>
              <w:rPr>
                <w:rFonts w:ascii="Times New Roman" w:hAnsi="Times New Roman"/>
                <w:sz w:val="24"/>
              </w:rPr>
            </w:pPr>
            <w:r>
              <w:rPr>
                <w:rFonts w:ascii="Times New Roman" w:hAnsi="Times New Roman"/>
                <w:sz w:val="24"/>
              </w:rPr>
              <w:t>年龄</w:t>
            </w:r>
          </w:p>
        </w:tc>
        <w:tc>
          <w:tcPr>
            <w:tcW w:w="1308" w:type="dxa"/>
            <w:vAlign w:val="center"/>
          </w:tcPr>
          <w:p>
            <w:pPr>
              <w:jc w:val="center"/>
              <w:rPr>
                <w:rFonts w:ascii="Times New Roman" w:hAnsi="Times New Roman"/>
                <w:sz w:val="24"/>
              </w:rPr>
            </w:pPr>
            <w:r>
              <w:rPr>
                <w:rFonts w:hint="eastAsia" w:ascii="Times New Roman" w:hAnsi="Times New Roman"/>
                <w:sz w:val="24"/>
              </w:rPr>
              <w:t>单位职务</w:t>
            </w:r>
          </w:p>
        </w:tc>
        <w:tc>
          <w:tcPr>
            <w:tcW w:w="1140" w:type="dxa"/>
            <w:vAlign w:val="center"/>
          </w:tcPr>
          <w:p>
            <w:pPr>
              <w:jc w:val="center"/>
              <w:rPr>
                <w:rFonts w:ascii="Times New Roman" w:hAnsi="Times New Roman"/>
                <w:sz w:val="24"/>
              </w:rPr>
            </w:pPr>
            <w:r>
              <w:rPr>
                <w:rFonts w:hint="eastAsia" w:ascii="Times New Roman" w:hAnsi="Times New Roman"/>
                <w:sz w:val="24"/>
              </w:rPr>
              <w:t>职称</w:t>
            </w:r>
          </w:p>
        </w:tc>
        <w:tc>
          <w:tcPr>
            <w:tcW w:w="1524" w:type="dxa"/>
            <w:vAlign w:val="center"/>
          </w:tcPr>
          <w:p>
            <w:pPr>
              <w:jc w:val="center"/>
              <w:rPr>
                <w:rFonts w:ascii="Times New Roman" w:hAnsi="Times New Roman"/>
                <w:sz w:val="24"/>
              </w:rPr>
            </w:pPr>
            <w:r>
              <w:rPr>
                <w:rFonts w:hint="eastAsia" w:ascii="Times New Roman" w:hAnsi="Times New Roman"/>
                <w:sz w:val="24"/>
              </w:rPr>
              <w:t>联系方式</w:t>
            </w:r>
          </w:p>
        </w:tc>
        <w:tc>
          <w:tcPr>
            <w:tcW w:w="1524" w:type="dxa"/>
            <w:vAlign w:val="center"/>
          </w:tcPr>
          <w:p>
            <w:pPr>
              <w:jc w:val="center"/>
              <w:rPr>
                <w:rFonts w:ascii="Times New Roman" w:hAnsi="Times New Roman"/>
                <w:sz w:val="24"/>
              </w:rPr>
            </w:pPr>
            <w:r>
              <w:rPr>
                <w:rFonts w:ascii="Times New Roman" w:hAnsi="Times New Roman"/>
                <w:sz w:val="24"/>
              </w:rPr>
              <w:t>拟在本项目中的分工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 w:type="dxa"/>
            <w:vAlign w:val="center"/>
          </w:tcPr>
          <w:p>
            <w:pPr>
              <w:jc w:val="center"/>
              <w:rPr>
                <w:rFonts w:ascii="Times New Roman" w:hAnsi="Times New Roman"/>
              </w:rPr>
            </w:pPr>
            <w:r>
              <w:rPr>
                <w:rFonts w:ascii="Times New Roman" w:hAnsi="Times New Roman"/>
              </w:rPr>
              <w:t>1</w:t>
            </w:r>
          </w:p>
        </w:tc>
        <w:tc>
          <w:tcPr>
            <w:tcW w:w="1392" w:type="dxa"/>
            <w:vAlign w:val="center"/>
          </w:tcPr>
          <w:p>
            <w:pPr>
              <w:jc w:val="center"/>
              <w:rPr>
                <w:rFonts w:ascii="Times New Roman" w:hAnsi="Times New Roman"/>
              </w:rPr>
            </w:pPr>
          </w:p>
        </w:tc>
        <w:tc>
          <w:tcPr>
            <w:tcW w:w="816" w:type="dxa"/>
            <w:vAlign w:val="center"/>
          </w:tcPr>
          <w:p>
            <w:pPr>
              <w:jc w:val="center"/>
              <w:rPr>
                <w:rFonts w:ascii="Times New Roman" w:hAnsi="Times New Roman"/>
              </w:rPr>
            </w:pPr>
          </w:p>
        </w:tc>
        <w:tc>
          <w:tcPr>
            <w:tcW w:w="816" w:type="dxa"/>
            <w:vAlign w:val="center"/>
          </w:tcPr>
          <w:p>
            <w:pPr>
              <w:jc w:val="center"/>
              <w:rPr>
                <w:rFonts w:ascii="Times New Roman" w:hAnsi="Times New Roman"/>
              </w:rPr>
            </w:pPr>
          </w:p>
        </w:tc>
        <w:tc>
          <w:tcPr>
            <w:tcW w:w="1308" w:type="dxa"/>
            <w:vAlign w:val="center"/>
          </w:tcPr>
          <w:p>
            <w:pPr>
              <w:jc w:val="center"/>
              <w:rPr>
                <w:rFonts w:ascii="Times New Roman" w:hAnsi="Times New Roman"/>
              </w:rPr>
            </w:pPr>
          </w:p>
        </w:tc>
        <w:tc>
          <w:tcPr>
            <w:tcW w:w="1140" w:type="dxa"/>
            <w:vAlign w:val="center"/>
          </w:tcPr>
          <w:p>
            <w:pPr>
              <w:jc w:val="center"/>
              <w:rPr>
                <w:rFonts w:ascii="Times New Roman" w:hAnsi="Times New Roman"/>
              </w:rPr>
            </w:pPr>
          </w:p>
        </w:tc>
        <w:tc>
          <w:tcPr>
            <w:tcW w:w="1524" w:type="dxa"/>
            <w:vAlign w:val="center"/>
          </w:tcPr>
          <w:p>
            <w:pPr>
              <w:jc w:val="center"/>
              <w:rPr>
                <w:rFonts w:ascii="Times New Roman" w:hAnsi="Times New Roman"/>
              </w:rPr>
            </w:pPr>
          </w:p>
        </w:tc>
        <w:tc>
          <w:tcPr>
            <w:tcW w:w="1524" w:type="dxa"/>
            <w:vAlign w:val="center"/>
          </w:tcPr>
          <w:p>
            <w:pPr>
              <w:jc w:val="center"/>
              <w:rPr>
                <w:rFonts w:ascii="Times New Roman" w:hAnsi="Times New Roman"/>
              </w:rPr>
            </w:pPr>
            <w:r>
              <w:rPr>
                <w:rFonts w:ascii="Times New Roman" w:hAnsi="Times New Roma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w:t>
            </w: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项目组长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3</w:t>
            </w: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项目成员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bl>
    <w:p>
      <w:pPr>
        <w:pStyle w:val="36"/>
        <w:adjustRightInd w:val="0"/>
        <w:snapToGrid w:val="0"/>
        <w:spacing w:line="500" w:lineRule="exact"/>
        <w:ind w:firstLine="0" w:firstLineChars="0"/>
        <w:rPr>
          <w:b/>
          <w:sz w:val="24"/>
        </w:rPr>
      </w:pPr>
    </w:p>
    <w:p>
      <w:pPr>
        <w:spacing w:line="360" w:lineRule="auto"/>
        <w:ind w:right="84"/>
        <w:rPr>
          <w:rFonts w:ascii="Times New Roman" w:hAnsi="Times New Roman"/>
          <w:position w:val="-40"/>
        </w:rPr>
      </w:pPr>
      <w:r>
        <w:rPr>
          <w:rFonts w:ascii="Times New Roman" w:hAnsi="Times New Roman"/>
          <w:position w:val="-40"/>
        </w:rPr>
        <w:t>注：</w:t>
      </w:r>
      <w:r>
        <w:rPr>
          <w:rFonts w:hint="eastAsia" w:ascii="Times New Roman" w:hAnsi="Times New Roman"/>
          <w:position w:val="-40"/>
        </w:rPr>
        <w:t>项目经理总体负责本项目的协调与沟通，项目组长负责与采购人接洽具体项目、接收委托书、取送相关资料等日常事务性工作，不得随意变更。</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spacing w:line="420" w:lineRule="exact"/>
        <w:rPr>
          <w:bCs/>
          <w:sz w:val="24"/>
        </w:rPr>
      </w:pPr>
    </w:p>
    <w:p>
      <w:pPr>
        <w:spacing w:line="420" w:lineRule="exact"/>
        <w:rPr>
          <w:rFonts w:ascii="Times New Roman" w:hAnsi="Times New Roman"/>
          <w:sz w:val="28"/>
          <w:szCs w:val="28"/>
        </w:rPr>
      </w:pPr>
      <w:r>
        <w:rPr>
          <w:rFonts w:hint="eastAsia"/>
          <w:bCs/>
          <w:sz w:val="24"/>
        </w:rPr>
        <w:t xml:space="preserve"> 附件8-2                 </w:t>
      </w:r>
      <w:r>
        <w:rPr>
          <w:rFonts w:hint="eastAsia" w:ascii="Times New Roman" w:hAnsi="Times New Roman"/>
          <w:b/>
          <w:sz w:val="24"/>
        </w:rPr>
        <w:t>项目经理</w:t>
      </w:r>
      <w:r>
        <w:rPr>
          <w:rFonts w:ascii="Times New Roman" w:hAnsi="Times New Roman"/>
          <w:b/>
          <w:sz w:val="24"/>
        </w:rPr>
        <w:t>资格审查表</w:t>
      </w:r>
    </w:p>
    <w:tbl>
      <w:tblPr>
        <w:tblStyle w:val="21"/>
        <w:tblpPr w:leftFromText="180" w:rightFromText="180" w:vertAnchor="text" w:horzAnchor="margin" w:tblpY="1037"/>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396"/>
        <w:gridCol w:w="1449"/>
        <w:gridCol w:w="1658"/>
        <w:gridCol w:w="142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2" w:type="dxa"/>
          </w:tcPr>
          <w:p>
            <w:pPr>
              <w:spacing w:line="360" w:lineRule="auto"/>
              <w:ind w:right="84"/>
              <w:jc w:val="center"/>
              <w:rPr>
                <w:rFonts w:ascii="Times New Roman" w:hAnsi="Times New Roman"/>
                <w:position w:val="-36"/>
                <w:sz w:val="24"/>
              </w:rPr>
            </w:pPr>
            <w:r>
              <w:rPr>
                <w:rFonts w:ascii="Times New Roman" w:hAnsi="Times New Roman"/>
                <w:position w:val="-36"/>
                <w:sz w:val="24"/>
              </w:rPr>
              <w:t>姓  名</w:t>
            </w:r>
          </w:p>
        </w:tc>
        <w:tc>
          <w:tcPr>
            <w:tcW w:w="1396" w:type="dxa"/>
          </w:tcPr>
          <w:p>
            <w:pPr>
              <w:spacing w:line="360" w:lineRule="auto"/>
              <w:ind w:right="84"/>
              <w:jc w:val="center"/>
              <w:rPr>
                <w:rFonts w:ascii="Times New Roman" w:hAnsi="Times New Roman"/>
                <w:position w:val="-36"/>
                <w:sz w:val="24"/>
              </w:rPr>
            </w:pPr>
          </w:p>
        </w:tc>
        <w:tc>
          <w:tcPr>
            <w:tcW w:w="1449" w:type="dxa"/>
          </w:tcPr>
          <w:p>
            <w:pPr>
              <w:spacing w:line="360" w:lineRule="auto"/>
              <w:ind w:right="84"/>
              <w:jc w:val="center"/>
              <w:rPr>
                <w:rFonts w:ascii="Times New Roman" w:hAnsi="Times New Roman"/>
                <w:position w:val="-36"/>
                <w:sz w:val="24"/>
              </w:rPr>
            </w:pPr>
            <w:r>
              <w:rPr>
                <w:rFonts w:ascii="Times New Roman" w:hAnsi="Times New Roman"/>
                <w:position w:val="-36"/>
                <w:sz w:val="24"/>
              </w:rPr>
              <w:t>性  别</w:t>
            </w:r>
          </w:p>
        </w:tc>
        <w:tc>
          <w:tcPr>
            <w:tcW w:w="1658" w:type="dxa"/>
          </w:tcPr>
          <w:p>
            <w:pPr>
              <w:spacing w:line="360" w:lineRule="auto"/>
              <w:ind w:right="84"/>
              <w:jc w:val="center"/>
              <w:rPr>
                <w:rFonts w:ascii="Times New Roman" w:hAnsi="Times New Roman"/>
                <w:position w:val="-36"/>
                <w:sz w:val="24"/>
              </w:rPr>
            </w:pPr>
          </w:p>
        </w:tc>
        <w:tc>
          <w:tcPr>
            <w:tcW w:w="1426" w:type="dxa"/>
          </w:tcPr>
          <w:p>
            <w:pPr>
              <w:spacing w:line="360" w:lineRule="auto"/>
              <w:ind w:right="84"/>
              <w:jc w:val="center"/>
              <w:rPr>
                <w:rFonts w:ascii="Times New Roman" w:hAnsi="Times New Roman"/>
                <w:position w:val="-36"/>
                <w:sz w:val="24"/>
              </w:rPr>
            </w:pPr>
            <w:r>
              <w:rPr>
                <w:rFonts w:ascii="Times New Roman" w:hAnsi="Times New Roman"/>
                <w:position w:val="-36"/>
                <w:sz w:val="24"/>
              </w:rPr>
              <w:t>年  龄</w:t>
            </w:r>
          </w:p>
        </w:tc>
        <w:tc>
          <w:tcPr>
            <w:tcW w:w="1290" w:type="dxa"/>
          </w:tcPr>
          <w:p>
            <w:pPr>
              <w:spacing w:line="360" w:lineRule="auto"/>
              <w:ind w:right="84"/>
              <w:jc w:val="center"/>
              <w:rPr>
                <w:rFonts w:ascii="Times New Roman" w:hAnsi="Times New Roman"/>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2" w:type="dxa"/>
          </w:tcPr>
          <w:p>
            <w:pPr>
              <w:spacing w:line="360" w:lineRule="auto"/>
              <w:ind w:right="84"/>
              <w:jc w:val="center"/>
              <w:rPr>
                <w:rFonts w:ascii="Times New Roman" w:hAnsi="Times New Roman"/>
                <w:position w:val="-36"/>
                <w:sz w:val="24"/>
              </w:rPr>
            </w:pPr>
            <w:r>
              <w:rPr>
                <w:rFonts w:hint="eastAsia" w:ascii="Times New Roman" w:hAnsi="Times New Roman"/>
                <w:position w:val="-36"/>
                <w:sz w:val="24"/>
              </w:rPr>
              <w:t>单位职务</w:t>
            </w:r>
          </w:p>
        </w:tc>
        <w:tc>
          <w:tcPr>
            <w:tcW w:w="1396" w:type="dxa"/>
          </w:tcPr>
          <w:p>
            <w:pPr>
              <w:spacing w:line="360" w:lineRule="auto"/>
              <w:ind w:right="84"/>
              <w:jc w:val="center"/>
              <w:rPr>
                <w:rFonts w:ascii="Times New Roman" w:hAnsi="Times New Roman"/>
                <w:position w:val="-36"/>
                <w:sz w:val="24"/>
              </w:rPr>
            </w:pPr>
          </w:p>
        </w:tc>
        <w:tc>
          <w:tcPr>
            <w:tcW w:w="1449" w:type="dxa"/>
          </w:tcPr>
          <w:p>
            <w:pPr>
              <w:spacing w:line="360" w:lineRule="auto"/>
              <w:ind w:right="84"/>
              <w:jc w:val="center"/>
              <w:rPr>
                <w:rFonts w:ascii="Times New Roman" w:hAnsi="Times New Roman"/>
                <w:position w:val="-36"/>
                <w:sz w:val="24"/>
              </w:rPr>
            </w:pPr>
            <w:r>
              <w:rPr>
                <w:rFonts w:hint="eastAsia" w:ascii="Times New Roman" w:hAnsi="Times New Roman"/>
                <w:position w:val="-36"/>
                <w:sz w:val="24"/>
              </w:rPr>
              <w:t>职  称</w:t>
            </w:r>
          </w:p>
        </w:tc>
        <w:tc>
          <w:tcPr>
            <w:tcW w:w="1658" w:type="dxa"/>
          </w:tcPr>
          <w:p>
            <w:pPr>
              <w:spacing w:line="360" w:lineRule="auto"/>
              <w:ind w:right="84"/>
              <w:jc w:val="center"/>
              <w:rPr>
                <w:rFonts w:ascii="Times New Roman" w:hAnsi="Times New Roman"/>
                <w:position w:val="-36"/>
                <w:sz w:val="24"/>
              </w:rPr>
            </w:pPr>
          </w:p>
        </w:tc>
        <w:tc>
          <w:tcPr>
            <w:tcW w:w="1426" w:type="dxa"/>
          </w:tcPr>
          <w:p>
            <w:pPr>
              <w:spacing w:line="360" w:lineRule="auto"/>
              <w:ind w:right="84"/>
              <w:jc w:val="center"/>
              <w:rPr>
                <w:rFonts w:ascii="Times New Roman" w:hAnsi="Times New Roman"/>
                <w:position w:val="-36"/>
                <w:sz w:val="24"/>
              </w:rPr>
            </w:pPr>
            <w:r>
              <w:rPr>
                <w:rFonts w:hint="eastAsia" w:ascii="Times New Roman" w:hAnsi="Times New Roman"/>
                <w:position w:val="-36"/>
                <w:sz w:val="24"/>
              </w:rPr>
              <w:t>毕业学校</w:t>
            </w:r>
          </w:p>
        </w:tc>
        <w:tc>
          <w:tcPr>
            <w:tcW w:w="1290" w:type="dxa"/>
          </w:tcPr>
          <w:p>
            <w:pPr>
              <w:spacing w:line="360" w:lineRule="auto"/>
              <w:ind w:right="84"/>
              <w:jc w:val="center"/>
              <w:rPr>
                <w:rFonts w:ascii="Times New Roman" w:hAnsi="Times New Roman"/>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2" w:type="dxa"/>
          </w:tcPr>
          <w:p>
            <w:pPr>
              <w:spacing w:line="360" w:lineRule="auto"/>
              <w:ind w:right="84"/>
              <w:jc w:val="center"/>
              <w:rPr>
                <w:rFonts w:ascii="Times New Roman" w:hAnsi="Times New Roman"/>
                <w:position w:val="-36"/>
                <w:sz w:val="24"/>
              </w:rPr>
            </w:pPr>
            <w:r>
              <w:rPr>
                <w:rFonts w:hint="eastAsia" w:ascii="Times New Roman" w:hAnsi="Times New Roman"/>
                <w:position w:val="-36"/>
                <w:sz w:val="24"/>
              </w:rPr>
              <w:t>毕业时间</w:t>
            </w:r>
          </w:p>
        </w:tc>
        <w:tc>
          <w:tcPr>
            <w:tcW w:w="1396" w:type="dxa"/>
          </w:tcPr>
          <w:p>
            <w:pPr>
              <w:spacing w:line="360" w:lineRule="auto"/>
              <w:ind w:right="84"/>
              <w:jc w:val="center"/>
              <w:rPr>
                <w:rFonts w:ascii="Times New Roman" w:hAnsi="Times New Roman"/>
                <w:position w:val="-36"/>
                <w:sz w:val="24"/>
              </w:rPr>
            </w:pPr>
          </w:p>
        </w:tc>
        <w:tc>
          <w:tcPr>
            <w:tcW w:w="1449" w:type="dxa"/>
          </w:tcPr>
          <w:p>
            <w:pPr>
              <w:spacing w:line="360" w:lineRule="auto"/>
              <w:ind w:right="84"/>
              <w:jc w:val="center"/>
              <w:rPr>
                <w:rFonts w:ascii="Times New Roman" w:hAnsi="Times New Roman"/>
                <w:position w:val="-36"/>
                <w:sz w:val="24"/>
              </w:rPr>
            </w:pPr>
            <w:r>
              <w:rPr>
                <w:rFonts w:ascii="Times New Roman" w:hAnsi="Times New Roman"/>
                <w:position w:val="-36"/>
                <w:sz w:val="24"/>
              </w:rPr>
              <w:t>所学专业</w:t>
            </w:r>
          </w:p>
        </w:tc>
        <w:tc>
          <w:tcPr>
            <w:tcW w:w="1658" w:type="dxa"/>
          </w:tcPr>
          <w:p>
            <w:pPr>
              <w:spacing w:line="360" w:lineRule="auto"/>
              <w:ind w:right="84"/>
              <w:jc w:val="center"/>
              <w:rPr>
                <w:rFonts w:ascii="Times New Roman" w:hAnsi="Times New Roman"/>
                <w:position w:val="-36"/>
                <w:sz w:val="24"/>
              </w:rPr>
            </w:pPr>
          </w:p>
        </w:tc>
        <w:tc>
          <w:tcPr>
            <w:tcW w:w="1426" w:type="dxa"/>
          </w:tcPr>
          <w:p>
            <w:pPr>
              <w:spacing w:line="360" w:lineRule="auto"/>
              <w:ind w:right="84"/>
              <w:jc w:val="center"/>
              <w:rPr>
                <w:rFonts w:ascii="Times New Roman" w:hAnsi="Times New Roman"/>
                <w:position w:val="-36"/>
                <w:sz w:val="24"/>
              </w:rPr>
            </w:pPr>
            <w:r>
              <w:rPr>
                <w:rFonts w:ascii="Times New Roman" w:hAnsi="Times New Roman"/>
                <w:position w:val="-36"/>
                <w:sz w:val="24"/>
              </w:rPr>
              <w:t>最高学历</w:t>
            </w:r>
          </w:p>
        </w:tc>
        <w:tc>
          <w:tcPr>
            <w:tcW w:w="1290" w:type="dxa"/>
          </w:tcPr>
          <w:p>
            <w:pPr>
              <w:spacing w:line="360" w:lineRule="auto"/>
              <w:ind w:right="84"/>
              <w:jc w:val="center"/>
              <w:rPr>
                <w:rFonts w:ascii="Times New Roman" w:hAnsi="Times New Roman"/>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71" w:type="dxa"/>
            <w:gridSpan w:val="6"/>
            <w:vAlign w:val="center"/>
          </w:tcPr>
          <w:p>
            <w:pPr>
              <w:spacing w:line="360" w:lineRule="auto"/>
              <w:ind w:right="84"/>
              <w:jc w:val="center"/>
              <w:rPr>
                <w:rFonts w:ascii="Times New Roman" w:hAnsi="Times New Roman"/>
                <w:position w:val="-36"/>
                <w:sz w:val="24"/>
              </w:rPr>
            </w:pPr>
            <w:r>
              <w:rPr>
                <w:rFonts w:hint="eastAsia" w:ascii="Times New Roman" w:hAnsi="Times New Roman"/>
                <w:position w:val="-36"/>
                <w:sz w:val="24"/>
              </w:rPr>
              <w:t>一、教育经历（从高中开始填起）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3" w:hRule="atLeast"/>
        </w:trPr>
        <w:tc>
          <w:tcPr>
            <w:tcW w:w="8671" w:type="dxa"/>
            <w:gridSpan w:val="6"/>
          </w:tcPr>
          <w:p>
            <w:pPr>
              <w:spacing w:line="360" w:lineRule="auto"/>
              <w:ind w:right="84"/>
              <w:jc w:val="center"/>
              <w:rPr>
                <w:rFonts w:ascii="Times New Roman" w:hAnsi="Times New Roman"/>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8671" w:type="dxa"/>
            <w:gridSpan w:val="6"/>
          </w:tcPr>
          <w:p>
            <w:pPr>
              <w:spacing w:line="360" w:lineRule="auto"/>
              <w:ind w:right="84"/>
              <w:jc w:val="center"/>
              <w:rPr>
                <w:rFonts w:ascii="Times New Roman" w:hAnsi="Times New Roman"/>
                <w:position w:val="-36"/>
                <w:sz w:val="24"/>
              </w:rPr>
            </w:pPr>
            <w:r>
              <w:rPr>
                <w:rFonts w:hint="eastAsia" w:ascii="Times New Roman" w:hAnsi="Times New Roman"/>
                <w:position w:val="-36"/>
                <w:sz w:val="24"/>
              </w:rPr>
              <w:t>二、工作经历（时间应连续，空档期须注明）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3" w:hRule="atLeast"/>
        </w:trPr>
        <w:tc>
          <w:tcPr>
            <w:tcW w:w="8671" w:type="dxa"/>
            <w:gridSpan w:val="6"/>
            <w:tcBorders>
              <w:bottom w:val="single" w:color="auto" w:sz="4" w:space="0"/>
            </w:tcBorders>
          </w:tcPr>
          <w:p>
            <w:pPr>
              <w:spacing w:line="360" w:lineRule="auto"/>
              <w:ind w:right="84"/>
              <w:jc w:val="center"/>
              <w:rPr>
                <w:rFonts w:ascii="Times New Roman" w:hAnsi="Times New Roman"/>
                <w:position w:val="-36"/>
                <w:sz w:val="24"/>
              </w:rPr>
            </w:pPr>
          </w:p>
        </w:tc>
      </w:tr>
    </w:tbl>
    <w:p>
      <w:pPr>
        <w:spacing w:line="420" w:lineRule="exact"/>
        <w:rPr>
          <w:rFonts w:ascii="Times New Roman" w:hAnsi="Times New Roman"/>
          <w:sz w:val="24"/>
        </w:rPr>
      </w:pPr>
    </w:p>
    <w:p>
      <w:pPr>
        <w:pStyle w:val="18"/>
        <w:widowControl/>
        <w:adjustRightInd w:val="0"/>
        <w:spacing w:before="75" w:beforeAutospacing="0" w:after="75" w:afterAutospacing="0" w:line="435" w:lineRule="atLeast"/>
        <w:jc w:val="both"/>
        <w:rPr>
          <w:rFonts w:ascii="宋体" w:hAnsi="宋体" w:cs="宋体"/>
          <w:color w:val="000000" w:themeColor="text1"/>
          <w:u w:val="single"/>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both"/>
        <w:rPr>
          <w:rFonts w:ascii="宋体" w:hAnsi="宋体" w:cs="宋体"/>
          <w:color w:val="000000" w:themeColor="text1"/>
          <w:u w:val="single"/>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pStyle w:val="36"/>
        <w:adjustRightInd w:val="0"/>
        <w:snapToGrid w:val="0"/>
        <w:spacing w:line="500" w:lineRule="exact"/>
        <w:ind w:firstLine="0" w:firstLineChars="0"/>
        <w:rPr>
          <w:bCs/>
          <w:sz w:val="24"/>
          <w:szCs w:val="24"/>
        </w:rPr>
      </w:pPr>
    </w:p>
    <w:p>
      <w:pPr>
        <w:rPr>
          <w:bCs/>
          <w:sz w:val="24"/>
        </w:rPr>
      </w:pPr>
      <w:r>
        <w:rPr>
          <w:rFonts w:hint="eastAsia"/>
          <w:bCs/>
          <w:sz w:val="24"/>
        </w:rPr>
        <w:br w:type="page"/>
      </w:r>
    </w:p>
    <w:p>
      <w:pPr>
        <w:spacing w:line="420" w:lineRule="exact"/>
        <w:rPr>
          <w:rFonts w:ascii="Times New Roman" w:hAnsi="Times New Roman"/>
          <w:sz w:val="28"/>
          <w:szCs w:val="28"/>
        </w:rPr>
      </w:pPr>
      <w:r>
        <w:rPr>
          <w:rFonts w:hint="eastAsia"/>
          <w:bCs/>
          <w:sz w:val="24"/>
        </w:rPr>
        <w:t xml:space="preserve"> 附件8-3                 </w:t>
      </w:r>
      <w:r>
        <w:rPr>
          <w:rFonts w:hint="eastAsia" w:ascii="Times New Roman" w:hAnsi="Times New Roman"/>
          <w:b/>
          <w:sz w:val="24"/>
        </w:rPr>
        <w:t>项目组长</w:t>
      </w:r>
      <w:r>
        <w:rPr>
          <w:rFonts w:ascii="Times New Roman" w:hAnsi="Times New Roman"/>
          <w:b/>
          <w:sz w:val="24"/>
        </w:rPr>
        <w:t>资格审查表</w:t>
      </w:r>
    </w:p>
    <w:tbl>
      <w:tblPr>
        <w:tblStyle w:val="21"/>
        <w:tblpPr w:leftFromText="180" w:rightFromText="180" w:vertAnchor="text" w:horzAnchor="margin" w:tblpY="1037"/>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396"/>
        <w:gridCol w:w="1449"/>
        <w:gridCol w:w="1658"/>
        <w:gridCol w:w="142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2" w:type="dxa"/>
          </w:tcPr>
          <w:p>
            <w:pPr>
              <w:spacing w:line="360" w:lineRule="auto"/>
              <w:ind w:right="84"/>
              <w:jc w:val="center"/>
              <w:rPr>
                <w:rFonts w:ascii="Times New Roman" w:hAnsi="Times New Roman"/>
                <w:position w:val="-36"/>
                <w:sz w:val="24"/>
              </w:rPr>
            </w:pPr>
            <w:r>
              <w:rPr>
                <w:rFonts w:ascii="Times New Roman" w:hAnsi="Times New Roman"/>
                <w:position w:val="-36"/>
                <w:sz w:val="24"/>
              </w:rPr>
              <w:t>姓  名</w:t>
            </w:r>
          </w:p>
        </w:tc>
        <w:tc>
          <w:tcPr>
            <w:tcW w:w="1396" w:type="dxa"/>
          </w:tcPr>
          <w:p>
            <w:pPr>
              <w:spacing w:line="360" w:lineRule="auto"/>
              <w:ind w:right="84"/>
              <w:jc w:val="center"/>
              <w:rPr>
                <w:rFonts w:ascii="Times New Roman" w:hAnsi="Times New Roman"/>
                <w:position w:val="-36"/>
                <w:sz w:val="24"/>
              </w:rPr>
            </w:pPr>
          </w:p>
        </w:tc>
        <w:tc>
          <w:tcPr>
            <w:tcW w:w="1449" w:type="dxa"/>
          </w:tcPr>
          <w:p>
            <w:pPr>
              <w:spacing w:line="360" w:lineRule="auto"/>
              <w:ind w:right="84"/>
              <w:jc w:val="center"/>
              <w:rPr>
                <w:rFonts w:ascii="Times New Roman" w:hAnsi="Times New Roman"/>
                <w:position w:val="-36"/>
                <w:sz w:val="24"/>
              </w:rPr>
            </w:pPr>
            <w:r>
              <w:rPr>
                <w:rFonts w:ascii="Times New Roman" w:hAnsi="Times New Roman"/>
                <w:position w:val="-36"/>
                <w:sz w:val="24"/>
              </w:rPr>
              <w:t>性  别</w:t>
            </w:r>
          </w:p>
        </w:tc>
        <w:tc>
          <w:tcPr>
            <w:tcW w:w="1658" w:type="dxa"/>
          </w:tcPr>
          <w:p>
            <w:pPr>
              <w:spacing w:line="360" w:lineRule="auto"/>
              <w:ind w:right="84"/>
              <w:jc w:val="center"/>
              <w:rPr>
                <w:rFonts w:ascii="Times New Roman" w:hAnsi="Times New Roman"/>
                <w:position w:val="-36"/>
                <w:sz w:val="24"/>
              </w:rPr>
            </w:pPr>
          </w:p>
        </w:tc>
        <w:tc>
          <w:tcPr>
            <w:tcW w:w="1426" w:type="dxa"/>
          </w:tcPr>
          <w:p>
            <w:pPr>
              <w:spacing w:line="360" w:lineRule="auto"/>
              <w:ind w:right="84"/>
              <w:jc w:val="center"/>
              <w:rPr>
                <w:rFonts w:ascii="Times New Roman" w:hAnsi="Times New Roman"/>
                <w:position w:val="-36"/>
                <w:sz w:val="24"/>
              </w:rPr>
            </w:pPr>
            <w:r>
              <w:rPr>
                <w:rFonts w:ascii="Times New Roman" w:hAnsi="Times New Roman"/>
                <w:position w:val="-36"/>
                <w:sz w:val="24"/>
              </w:rPr>
              <w:t>年  龄</w:t>
            </w:r>
          </w:p>
        </w:tc>
        <w:tc>
          <w:tcPr>
            <w:tcW w:w="1290" w:type="dxa"/>
          </w:tcPr>
          <w:p>
            <w:pPr>
              <w:spacing w:line="360" w:lineRule="auto"/>
              <w:ind w:right="84"/>
              <w:jc w:val="center"/>
              <w:rPr>
                <w:rFonts w:ascii="Times New Roman" w:hAnsi="Times New Roman"/>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2" w:type="dxa"/>
          </w:tcPr>
          <w:p>
            <w:pPr>
              <w:spacing w:line="360" w:lineRule="auto"/>
              <w:ind w:right="84"/>
              <w:jc w:val="center"/>
              <w:rPr>
                <w:rFonts w:ascii="Times New Roman" w:hAnsi="Times New Roman"/>
                <w:position w:val="-36"/>
                <w:sz w:val="24"/>
              </w:rPr>
            </w:pPr>
            <w:r>
              <w:rPr>
                <w:rFonts w:hint="eastAsia" w:ascii="Times New Roman" w:hAnsi="Times New Roman"/>
                <w:position w:val="-36"/>
                <w:sz w:val="24"/>
              </w:rPr>
              <w:t>单位职务</w:t>
            </w:r>
          </w:p>
        </w:tc>
        <w:tc>
          <w:tcPr>
            <w:tcW w:w="1396" w:type="dxa"/>
          </w:tcPr>
          <w:p>
            <w:pPr>
              <w:spacing w:line="360" w:lineRule="auto"/>
              <w:ind w:right="84"/>
              <w:jc w:val="center"/>
              <w:rPr>
                <w:rFonts w:ascii="Times New Roman" w:hAnsi="Times New Roman"/>
                <w:position w:val="-36"/>
                <w:sz w:val="24"/>
              </w:rPr>
            </w:pPr>
          </w:p>
        </w:tc>
        <w:tc>
          <w:tcPr>
            <w:tcW w:w="1449" w:type="dxa"/>
          </w:tcPr>
          <w:p>
            <w:pPr>
              <w:spacing w:line="360" w:lineRule="auto"/>
              <w:ind w:right="84"/>
              <w:jc w:val="center"/>
              <w:rPr>
                <w:rFonts w:ascii="Times New Roman" w:hAnsi="Times New Roman"/>
                <w:position w:val="-36"/>
                <w:sz w:val="24"/>
              </w:rPr>
            </w:pPr>
            <w:r>
              <w:rPr>
                <w:rFonts w:hint="eastAsia" w:ascii="Times New Roman" w:hAnsi="Times New Roman"/>
                <w:position w:val="-36"/>
                <w:sz w:val="24"/>
              </w:rPr>
              <w:t>职  称</w:t>
            </w:r>
          </w:p>
        </w:tc>
        <w:tc>
          <w:tcPr>
            <w:tcW w:w="1658" w:type="dxa"/>
          </w:tcPr>
          <w:p>
            <w:pPr>
              <w:spacing w:line="360" w:lineRule="auto"/>
              <w:ind w:right="84"/>
              <w:jc w:val="center"/>
              <w:rPr>
                <w:rFonts w:ascii="Times New Roman" w:hAnsi="Times New Roman"/>
                <w:position w:val="-36"/>
                <w:sz w:val="24"/>
              </w:rPr>
            </w:pPr>
          </w:p>
        </w:tc>
        <w:tc>
          <w:tcPr>
            <w:tcW w:w="1426" w:type="dxa"/>
          </w:tcPr>
          <w:p>
            <w:pPr>
              <w:spacing w:line="360" w:lineRule="auto"/>
              <w:ind w:right="84"/>
              <w:jc w:val="center"/>
              <w:rPr>
                <w:rFonts w:ascii="Times New Roman" w:hAnsi="Times New Roman"/>
                <w:position w:val="-36"/>
                <w:sz w:val="24"/>
              </w:rPr>
            </w:pPr>
            <w:r>
              <w:rPr>
                <w:rFonts w:hint="eastAsia" w:ascii="Times New Roman" w:hAnsi="Times New Roman"/>
                <w:position w:val="-36"/>
                <w:sz w:val="24"/>
              </w:rPr>
              <w:t>毕业学校</w:t>
            </w:r>
          </w:p>
        </w:tc>
        <w:tc>
          <w:tcPr>
            <w:tcW w:w="1290" w:type="dxa"/>
          </w:tcPr>
          <w:p>
            <w:pPr>
              <w:spacing w:line="360" w:lineRule="auto"/>
              <w:ind w:right="84"/>
              <w:jc w:val="center"/>
              <w:rPr>
                <w:rFonts w:ascii="Times New Roman" w:hAnsi="Times New Roman"/>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2" w:type="dxa"/>
          </w:tcPr>
          <w:p>
            <w:pPr>
              <w:spacing w:line="360" w:lineRule="auto"/>
              <w:ind w:right="84"/>
              <w:jc w:val="center"/>
              <w:rPr>
                <w:rFonts w:ascii="Times New Roman" w:hAnsi="Times New Roman"/>
                <w:position w:val="-36"/>
                <w:sz w:val="24"/>
              </w:rPr>
            </w:pPr>
            <w:r>
              <w:rPr>
                <w:rFonts w:hint="eastAsia" w:ascii="Times New Roman" w:hAnsi="Times New Roman"/>
                <w:position w:val="-36"/>
                <w:sz w:val="24"/>
              </w:rPr>
              <w:t>毕业时间</w:t>
            </w:r>
          </w:p>
        </w:tc>
        <w:tc>
          <w:tcPr>
            <w:tcW w:w="1396" w:type="dxa"/>
          </w:tcPr>
          <w:p>
            <w:pPr>
              <w:spacing w:line="360" w:lineRule="auto"/>
              <w:ind w:right="84"/>
              <w:jc w:val="center"/>
              <w:rPr>
                <w:rFonts w:ascii="Times New Roman" w:hAnsi="Times New Roman"/>
                <w:position w:val="-36"/>
                <w:sz w:val="24"/>
              </w:rPr>
            </w:pPr>
          </w:p>
        </w:tc>
        <w:tc>
          <w:tcPr>
            <w:tcW w:w="1449" w:type="dxa"/>
          </w:tcPr>
          <w:p>
            <w:pPr>
              <w:spacing w:line="360" w:lineRule="auto"/>
              <w:ind w:right="84"/>
              <w:jc w:val="center"/>
              <w:rPr>
                <w:rFonts w:ascii="Times New Roman" w:hAnsi="Times New Roman"/>
                <w:position w:val="-36"/>
                <w:sz w:val="24"/>
              </w:rPr>
            </w:pPr>
            <w:r>
              <w:rPr>
                <w:rFonts w:ascii="Times New Roman" w:hAnsi="Times New Roman"/>
                <w:position w:val="-36"/>
                <w:sz w:val="24"/>
              </w:rPr>
              <w:t>所学专业</w:t>
            </w:r>
          </w:p>
        </w:tc>
        <w:tc>
          <w:tcPr>
            <w:tcW w:w="1658" w:type="dxa"/>
          </w:tcPr>
          <w:p>
            <w:pPr>
              <w:spacing w:line="360" w:lineRule="auto"/>
              <w:ind w:right="84"/>
              <w:jc w:val="center"/>
              <w:rPr>
                <w:rFonts w:ascii="Times New Roman" w:hAnsi="Times New Roman"/>
                <w:position w:val="-36"/>
                <w:sz w:val="24"/>
              </w:rPr>
            </w:pPr>
          </w:p>
        </w:tc>
        <w:tc>
          <w:tcPr>
            <w:tcW w:w="1426" w:type="dxa"/>
          </w:tcPr>
          <w:p>
            <w:pPr>
              <w:spacing w:line="360" w:lineRule="auto"/>
              <w:ind w:right="84"/>
              <w:jc w:val="center"/>
              <w:rPr>
                <w:rFonts w:ascii="Times New Roman" w:hAnsi="Times New Roman"/>
                <w:position w:val="-36"/>
                <w:sz w:val="24"/>
              </w:rPr>
            </w:pPr>
            <w:r>
              <w:rPr>
                <w:rFonts w:ascii="Times New Roman" w:hAnsi="Times New Roman"/>
                <w:position w:val="-36"/>
                <w:sz w:val="24"/>
              </w:rPr>
              <w:t>最高学历</w:t>
            </w:r>
          </w:p>
        </w:tc>
        <w:tc>
          <w:tcPr>
            <w:tcW w:w="1290" w:type="dxa"/>
          </w:tcPr>
          <w:p>
            <w:pPr>
              <w:spacing w:line="360" w:lineRule="auto"/>
              <w:ind w:right="84"/>
              <w:jc w:val="center"/>
              <w:rPr>
                <w:rFonts w:ascii="Times New Roman" w:hAnsi="Times New Roman"/>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71" w:type="dxa"/>
            <w:gridSpan w:val="6"/>
            <w:vAlign w:val="center"/>
          </w:tcPr>
          <w:p>
            <w:pPr>
              <w:spacing w:line="360" w:lineRule="auto"/>
              <w:ind w:right="84"/>
              <w:jc w:val="center"/>
              <w:rPr>
                <w:rFonts w:ascii="Times New Roman" w:hAnsi="Times New Roman"/>
                <w:position w:val="-36"/>
                <w:sz w:val="24"/>
              </w:rPr>
            </w:pPr>
            <w:r>
              <w:rPr>
                <w:rFonts w:hint="eastAsia" w:ascii="Times New Roman" w:hAnsi="Times New Roman"/>
                <w:position w:val="-36"/>
                <w:sz w:val="24"/>
              </w:rPr>
              <w:t>一、教育经历（从高中开始填起）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3" w:hRule="atLeast"/>
        </w:trPr>
        <w:tc>
          <w:tcPr>
            <w:tcW w:w="8671" w:type="dxa"/>
            <w:gridSpan w:val="6"/>
          </w:tcPr>
          <w:p>
            <w:pPr>
              <w:spacing w:line="360" w:lineRule="auto"/>
              <w:ind w:right="84"/>
              <w:jc w:val="center"/>
              <w:rPr>
                <w:rFonts w:ascii="Times New Roman" w:hAnsi="Times New Roman"/>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8671" w:type="dxa"/>
            <w:gridSpan w:val="6"/>
          </w:tcPr>
          <w:p>
            <w:pPr>
              <w:spacing w:line="360" w:lineRule="auto"/>
              <w:ind w:right="84"/>
              <w:jc w:val="center"/>
              <w:rPr>
                <w:rFonts w:ascii="Times New Roman" w:hAnsi="Times New Roman"/>
                <w:position w:val="-36"/>
                <w:sz w:val="24"/>
              </w:rPr>
            </w:pPr>
            <w:r>
              <w:rPr>
                <w:rFonts w:hint="eastAsia" w:ascii="Times New Roman" w:hAnsi="Times New Roman"/>
                <w:position w:val="-36"/>
                <w:sz w:val="24"/>
              </w:rPr>
              <w:t>二、工作经历（时间应连续，空档期须注明）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3" w:hRule="atLeast"/>
        </w:trPr>
        <w:tc>
          <w:tcPr>
            <w:tcW w:w="8671" w:type="dxa"/>
            <w:gridSpan w:val="6"/>
            <w:tcBorders>
              <w:bottom w:val="single" w:color="auto" w:sz="4" w:space="0"/>
            </w:tcBorders>
          </w:tcPr>
          <w:p>
            <w:pPr>
              <w:spacing w:line="360" w:lineRule="auto"/>
              <w:ind w:right="84"/>
              <w:jc w:val="center"/>
              <w:rPr>
                <w:rFonts w:ascii="Times New Roman" w:hAnsi="Times New Roman"/>
                <w:position w:val="-36"/>
                <w:sz w:val="24"/>
              </w:rPr>
            </w:pPr>
          </w:p>
        </w:tc>
      </w:tr>
    </w:tbl>
    <w:p>
      <w:pPr>
        <w:spacing w:line="420" w:lineRule="exact"/>
        <w:rPr>
          <w:rFonts w:ascii="Times New Roman" w:hAnsi="Times New Roman"/>
          <w:sz w:val="24"/>
        </w:rPr>
      </w:pPr>
    </w:p>
    <w:p>
      <w:pPr>
        <w:pStyle w:val="18"/>
        <w:widowControl/>
        <w:adjustRightInd w:val="0"/>
        <w:spacing w:before="75" w:beforeAutospacing="0" w:after="75" w:afterAutospacing="0" w:line="435" w:lineRule="atLeast"/>
        <w:jc w:val="both"/>
        <w:rPr>
          <w:rFonts w:ascii="宋体" w:hAnsi="宋体" w:cs="宋体"/>
          <w:color w:val="000000" w:themeColor="text1"/>
          <w:u w:val="single"/>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both"/>
        <w:rPr>
          <w:rFonts w:ascii="宋体" w:hAnsi="宋体" w:cs="宋体"/>
          <w:color w:val="000000" w:themeColor="text1"/>
          <w:u w:val="single"/>
          <w:shd w:val="clear" w:color="auto" w:fill="FFFFFF"/>
          <w14:textFill>
            <w14:solidFill>
              <w14:schemeClr w14:val="tx1"/>
            </w14:solidFill>
          </w14:textFill>
        </w:rPr>
      </w:pP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供应商代表：</w:t>
      </w:r>
      <w:r>
        <w:rPr>
          <w:rFonts w:hint="eastAsia" w:ascii="宋体" w:hAnsi="宋体" w:cs="宋体"/>
          <w:color w:val="000000" w:themeColor="text1"/>
          <w:u w:val="single"/>
          <w:shd w:val="clear" w:color="auto" w:fill="FFFFFF"/>
          <w14:textFill>
            <w14:solidFill>
              <w14:schemeClr w14:val="tx1"/>
            </w14:solidFill>
          </w14:textFill>
        </w:rPr>
        <w:t>             (签字) </w:t>
      </w:r>
    </w:p>
    <w:p>
      <w:pPr>
        <w:pStyle w:val="18"/>
        <w:widowControl/>
        <w:adjustRightInd w:val="0"/>
        <w:spacing w:before="75" w:beforeAutospacing="0" w:after="75" w:afterAutospacing="0" w:line="435" w:lineRule="atLeas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供应商名称：</w:t>
      </w:r>
      <w:r>
        <w:rPr>
          <w:rFonts w:hint="eastAsia" w:ascii="宋体" w:hAnsi="宋体" w:cs="宋体"/>
          <w:color w:val="000000" w:themeColor="text1"/>
          <w:u w:val="single"/>
          <w:shd w:val="clear" w:color="auto" w:fill="FFFFFF"/>
          <w14:textFill>
            <w14:solidFill>
              <w14:schemeClr w14:val="tx1"/>
            </w14:solidFill>
          </w14:textFill>
        </w:rPr>
        <w:t>         (全称并加盖公章)     </w:t>
      </w:r>
    </w:p>
    <w:p>
      <w:pPr>
        <w:pStyle w:val="18"/>
        <w:widowControl/>
        <w:adjustRightInd w:val="0"/>
        <w:spacing w:before="75" w:beforeAutospacing="0" w:after="75" w:afterAutospacing="0" w:line="435"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  期：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 </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rPr>
          <w:bCs/>
          <w:sz w:val="24"/>
        </w:rPr>
      </w:pPr>
      <w:r>
        <w:rPr>
          <w:rFonts w:hint="eastAsia"/>
          <w:bCs/>
          <w:sz w:val="24"/>
        </w:rPr>
        <w:br w:type="page"/>
      </w:r>
    </w:p>
    <w:p>
      <w:pPr>
        <w:pStyle w:val="18"/>
        <w:widowControl/>
        <w:adjustRightInd w:val="0"/>
        <w:spacing w:before="75" w:beforeAutospacing="0" w:after="75" w:afterAutospacing="0" w:line="465" w:lineRule="atLeast"/>
        <w:rPr>
          <w:rFonts w:ascii="宋体" w:hAnsi="宋体" w:cs="宋体"/>
          <w:b/>
          <w:bCs/>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 xml:space="preserve">附件9                  </w:t>
      </w:r>
      <w:r>
        <w:rPr>
          <w:rFonts w:hint="eastAsia" w:ascii="宋体" w:hAnsi="宋体" w:cs="宋体"/>
          <w:b/>
          <w:bCs/>
          <w:color w:val="000000" w:themeColor="text1"/>
          <w:shd w:val="clear" w:color="auto" w:fill="FFFFFF"/>
          <w14:textFill>
            <w14:solidFill>
              <w14:schemeClr w14:val="tx1"/>
            </w14:solidFill>
          </w14:textFill>
        </w:rPr>
        <w:t xml:space="preserve">     退还磋商保证金函</w:t>
      </w:r>
    </w:p>
    <w:p>
      <w:pPr>
        <w:spacing w:line="480" w:lineRule="auto"/>
        <w:rPr>
          <w:rFonts w:ascii="宋体" w:hAnsi="宋体"/>
          <w:szCs w:val="21"/>
        </w:rPr>
      </w:pPr>
      <w:r>
        <w:rPr>
          <w:rFonts w:hint="eastAsia" w:ascii="宋体" w:hAnsi="宋体"/>
          <w:szCs w:val="21"/>
        </w:rPr>
        <w:t>致：</w:t>
      </w:r>
      <w:r>
        <w:rPr>
          <w:rFonts w:hint="eastAsia" w:ascii="宋体" w:hAnsi="宋体"/>
          <w:szCs w:val="21"/>
          <w:u w:val="single"/>
        </w:rPr>
        <w:t>福建康泰招标有限公司</w:t>
      </w:r>
    </w:p>
    <w:p>
      <w:pPr>
        <w:tabs>
          <w:tab w:val="left" w:pos="978"/>
        </w:tabs>
        <w:spacing w:line="360" w:lineRule="auto"/>
        <w:ind w:firstLine="411" w:firstLineChars="196"/>
        <w:rPr>
          <w:rFonts w:ascii="宋体" w:hAnsi="宋体"/>
          <w:sz w:val="24"/>
        </w:rPr>
      </w:pPr>
      <w:r>
        <w:rPr>
          <w:rFonts w:hint="eastAsia" w:ascii="宋体" w:hAnsi="宋体"/>
          <w:szCs w:val="21"/>
        </w:rPr>
        <w:t>我司于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日参与贵司组织磋商的项目编号为：</w:t>
      </w:r>
      <w:r>
        <w:rPr>
          <w:rFonts w:hint="eastAsia" w:ascii="宋体" w:hAnsi="宋体"/>
          <w:szCs w:val="21"/>
          <w:u w:val="single"/>
        </w:rPr>
        <w:t xml:space="preserve">           </w:t>
      </w:r>
      <w:r>
        <w:rPr>
          <w:rFonts w:hint="eastAsia" w:ascii="宋体" w:hAnsi="宋体"/>
          <w:szCs w:val="21"/>
        </w:rPr>
        <w:t>的（项目名称：</w:t>
      </w:r>
      <w:r>
        <w:rPr>
          <w:rFonts w:hint="eastAsia" w:ascii="宋体" w:hAnsi="宋体"/>
          <w:szCs w:val="21"/>
          <w:u w:val="single"/>
        </w:rPr>
        <w:t xml:space="preserve">                </w:t>
      </w:r>
      <w:r>
        <w:rPr>
          <w:rFonts w:hint="eastAsia" w:ascii="宋体" w:hAnsi="宋体"/>
          <w:szCs w:val="21"/>
        </w:rPr>
        <w:t>）磋商，我司于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日以</w:t>
      </w:r>
      <w:r>
        <w:rPr>
          <w:rFonts w:hint="eastAsia" w:ascii="宋体" w:hAnsi="宋体"/>
          <w:szCs w:val="21"/>
          <w:u w:val="single"/>
        </w:rPr>
        <w:t xml:space="preserve">         </w:t>
      </w:r>
      <w:r>
        <w:rPr>
          <w:rFonts w:hint="eastAsia" w:ascii="宋体" w:hAnsi="宋体"/>
          <w:szCs w:val="21"/>
        </w:rPr>
        <w:t>(同城转帐、异城电汇)形式向贵司账户缴纳磋商保证金（大写</w:t>
      </w:r>
      <w:r>
        <w:rPr>
          <w:rFonts w:hint="eastAsia" w:ascii="宋体" w:hAnsi="宋体"/>
          <w:szCs w:val="21"/>
          <w:u w:val="single"/>
        </w:rPr>
        <w:t xml:space="preserve">        </w:t>
      </w:r>
      <w:r>
        <w:rPr>
          <w:rFonts w:hint="eastAsia" w:ascii="宋体" w:hAnsi="宋体"/>
          <w:szCs w:val="21"/>
        </w:rPr>
        <w:t>元）（小写￥</w:t>
      </w:r>
      <w:r>
        <w:rPr>
          <w:rFonts w:hint="eastAsia" w:ascii="宋体" w:hAnsi="宋体"/>
          <w:szCs w:val="21"/>
          <w:u w:val="single"/>
        </w:rPr>
        <w:t xml:space="preserve">      </w:t>
      </w:r>
      <w:r>
        <w:rPr>
          <w:rFonts w:hint="eastAsia" w:ascii="宋体" w:hAnsi="宋体"/>
          <w:szCs w:val="21"/>
        </w:rPr>
        <w:t>元），当可退回时，请退回到我司以下账户：</w:t>
      </w:r>
    </w:p>
    <w:p>
      <w:pPr>
        <w:spacing w:line="500" w:lineRule="exact"/>
        <w:ind w:firstLine="420"/>
        <w:rPr>
          <w:rFonts w:ascii="宋体" w:hAnsi="宋体"/>
          <w:szCs w:val="21"/>
        </w:rPr>
      </w:pPr>
      <w:r>
        <w:rPr>
          <w:rFonts w:hint="eastAsia" w:ascii="宋体" w:hAnsi="宋体"/>
          <w:szCs w:val="21"/>
        </w:rPr>
        <w:t>开户名：</w:t>
      </w:r>
      <w:r>
        <w:rPr>
          <w:rFonts w:hint="eastAsia" w:ascii="宋体" w:hAnsi="宋体"/>
          <w:szCs w:val="21"/>
          <w:u w:val="single"/>
        </w:rPr>
        <w:t xml:space="preserve">                              </w:t>
      </w:r>
      <w:r>
        <w:rPr>
          <w:rFonts w:hint="eastAsia" w:ascii="宋体" w:hAnsi="宋体"/>
          <w:szCs w:val="21"/>
        </w:rPr>
        <w:t xml:space="preserve">     </w:t>
      </w:r>
    </w:p>
    <w:p>
      <w:pPr>
        <w:spacing w:line="500" w:lineRule="exact"/>
        <w:ind w:firstLine="420"/>
        <w:rPr>
          <w:rFonts w:ascii="宋体" w:hAnsi="宋体"/>
          <w:szCs w:val="21"/>
          <w:u w:val="single"/>
        </w:rPr>
      </w:pPr>
      <w:r>
        <w:rPr>
          <w:rFonts w:hint="eastAsia" w:ascii="宋体" w:hAnsi="宋体"/>
          <w:szCs w:val="21"/>
        </w:rPr>
        <w:t>开户行：</w:t>
      </w:r>
      <w:r>
        <w:rPr>
          <w:rFonts w:hint="eastAsia" w:ascii="宋体" w:hAnsi="宋体"/>
          <w:szCs w:val="21"/>
          <w:u w:val="single"/>
        </w:rPr>
        <w:t xml:space="preserve">                              </w:t>
      </w:r>
    </w:p>
    <w:p>
      <w:pPr>
        <w:spacing w:line="500" w:lineRule="exact"/>
        <w:ind w:firstLine="420"/>
        <w:rPr>
          <w:rFonts w:ascii="宋体" w:hAnsi="宋体"/>
          <w:szCs w:val="21"/>
          <w:u w:val="single"/>
        </w:rPr>
      </w:pPr>
      <w:r>
        <w:rPr>
          <w:rFonts w:hint="eastAsia" w:ascii="宋体" w:hAnsi="宋体"/>
          <w:szCs w:val="21"/>
        </w:rPr>
        <w:t xml:space="preserve">账 号： </w:t>
      </w:r>
      <w:r>
        <w:rPr>
          <w:rFonts w:hint="eastAsia" w:ascii="宋体" w:hAnsi="宋体"/>
          <w:szCs w:val="21"/>
          <w:u w:val="single"/>
        </w:rPr>
        <w:t xml:space="preserve">                              </w:t>
      </w:r>
    </w:p>
    <w:p>
      <w:pPr>
        <w:spacing w:line="500" w:lineRule="exact"/>
        <w:ind w:firstLine="420"/>
        <w:rPr>
          <w:rFonts w:ascii="宋体" w:hAnsi="宋体"/>
          <w:szCs w:val="21"/>
          <w:u w:val="single"/>
        </w:rPr>
      </w:pPr>
      <w:r>
        <w:rPr>
          <w:rFonts w:hint="eastAsia" w:ascii="宋体" w:hAnsi="宋体"/>
          <w:szCs w:val="21"/>
        </w:rPr>
        <w:t>公司所在地：</w:t>
      </w:r>
      <w:r>
        <w:rPr>
          <w:rFonts w:hint="eastAsia" w:ascii="宋体" w:hAnsi="宋体"/>
          <w:szCs w:val="21"/>
          <w:u w:val="single"/>
        </w:rPr>
        <w:t xml:space="preserve">      省       市       县 </w:t>
      </w:r>
    </w:p>
    <w:p>
      <w:pPr>
        <w:spacing w:line="500" w:lineRule="exact"/>
        <w:ind w:firstLine="420"/>
        <w:rPr>
          <w:rFonts w:ascii="宋体" w:hAnsi="宋体"/>
          <w:szCs w:val="21"/>
        </w:rPr>
      </w:pPr>
      <w:r>
        <w:rPr>
          <w:rFonts w:hint="eastAsia" w:ascii="宋体" w:hAnsi="宋体"/>
          <w:szCs w:val="21"/>
        </w:rPr>
        <w:t>供应商代表：</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（手机）</w:t>
      </w:r>
      <w:r>
        <w:rPr>
          <w:rFonts w:hint="eastAsia" w:ascii="宋体" w:hAnsi="宋体"/>
          <w:szCs w:val="21"/>
          <w:u w:val="single"/>
        </w:rPr>
        <w:t xml:space="preserve">         </w:t>
      </w:r>
      <w:r>
        <w:rPr>
          <w:rFonts w:hint="eastAsia" w:ascii="宋体" w:hAnsi="宋体"/>
          <w:szCs w:val="21"/>
        </w:rPr>
        <w:t>（固话）</w:t>
      </w:r>
    </w:p>
    <w:p>
      <w:pPr>
        <w:spacing w:line="500" w:lineRule="exact"/>
        <w:ind w:firstLine="420"/>
        <w:rPr>
          <w:rFonts w:ascii="宋体" w:hAnsi="宋体"/>
          <w:szCs w:val="21"/>
          <w:u w:val="single"/>
        </w:rPr>
      </w:pPr>
      <w:r>
        <w:rPr>
          <w:rFonts w:hint="eastAsia" w:ascii="宋体" w:hAnsi="宋体"/>
          <w:szCs w:val="21"/>
        </w:rPr>
        <w:t>供应商名称（盖公司公章）：</w:t>
      </w:r>
      <w:r>
        <w:rPr>
          <w:rFonts w:hint="eastAsia" w:ascii="宋体" w:hAnsi="宋体"/>
          <w:szCs w:val="21"/>
          <w:u w:val="single"/>
        </w:rPr>
        <w:t xml:space="preserve">                  </w:t>
      </w:r>
    </w:p>
    <w:p>
      <w:pPr>
        <w:spacing w:line="400" w:lineRule="exact"/>
        <w:ind w:firstLine="420"/>
        <w:rPr>
          <w:rFonts w:ascii="宋体" w:hAnsi="宋体"/>
          <w:szCs w:val="21"/>
          <w:u w:val="single"/>
        </w:rPr>
      </w:pPr>
      <w:r>
        <w:rPr>
          <w:rFonts w:hint="eastAsia" w:ascii="宋体" w:hAnsi="宋体"/>
          <w:szCs w:val="21"/>
          <w:u w:val="single"/>
        </w:rPr>
        <w:t>附：汇款凭证</w:t>
      </w:r>
    </w:p>
    <w:tbl>
      <w:tblPr>
        <w:tblStyle w:val="21"/>
        <w:tblW w:w="8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602" w:type="dxa"/>
          </w:tcPr>
          <w:p>
            <w:pPr>
              <w:spacing w:line="400" w:lineRule="exact"/>
              <w:rPr>
                <w:rFonts w:ascii="宋体" w:hAnsi="宋体"/>
                <w:szCs w:val="21"/>
                <w:u w:val="single"/>
              </w:rPr>
            </w:pPr>
          </w:p>
        </w:tc>
      </w:tr>
    </w:tbl>
    <w:p>
      <w:pPr>
        <w:widowControl/>
        <w:spacing w:line="360" w:lineRule="auto"/>
        <w:jc w:val="left"/>
        <w:rPr>
          <w:rFonts w:ascii="宋体" w:hAnsi="宋体"/>
          <w:b/>
          <w:szCs w:val="21"/>
        </w:rPr>
      </w:pPr>
      <w:r>
        <w:rPr>
          <w:rFonts w:hint="eastAsia" w:ascii="宋体" w:hAnsi="宋体"/>
          <w:b/>
          <w:szCs w:val="21"/>
        </w:rPr>
        <w:t>注意事项：</w:t>
      </w:r>
    </w:p>
    <w:p>
      <w:pPr>
        <w:tabs>
          <w:tab w:val="left" w:pos="978"/>
        </w:tabs>
        <w:spacing w:line="360" w:lineRule="auto"/>
        <w:rPr>
          <w:rFonts w:ascii="宋体" w:hAnsi="宋体"/>
          <w:b/>
          <w:szCs w:val="21"/>
        </w:rPr>
      </w:pPr>
      <w:r>
        <w:rPr>
          <w:rFonts w:hint="eastAsia" w:ascii="宋体" w:hAnsi="宋体"/>
          <w:b/>
          <w:szCs w:val="21"/>
        </w:rPr>
        <w:t>1、以上内容应详细填写，不可简化；</w:t>
      </w:r>
    </w:p>
    <w:p>
      <w:pPr>
        <w:tabs>
          <w:tab w:val="left" w:pos="978"/>
        </w:tabs>
        <w:spacing w:line="360" w:lineRule="auto"/>
        <w:rPr>
          <w:rFonts w:ascii="宋体" w:hAnsi="宋体"/>
          <w:b/>
          <w:szCs w:val="21"/>
        </w:rPr>
      </w:pPr>
      <w:r>
        <w:rPr>
          <w:rFonts w:hint="eastAsia" w:ascii="宋体" w:hAnsi="宋体"/>
          <w:b/>
          <w:szCs w:val="21"/>
        </w:rPr>
        <w:t>2、未能及时缴交本表以及填写相关信息而致未能及时退还磋商保证金的，福建康泰招标有限公司将不负法律与经济责任。</w:t>
      </w:r>
    </w:p>
    <w:p>
      <w:pPr>
        <w:tabs>
          <w:tab w:val="left" w:pos="978"/>
        </w:tabs>
        <w:spacing w:line="360" w:lineRule="auto"/>
        <w:rPr>
          <w:rFonts w:ascii="宋体" w:hAnsi="宋体"/>
          <w:b/>
          <w:szCs w:val="21"/>
        </w:rPr>
      </w:pPr>
      <w:r>
        <w:rPr>
          <w:rFonts w:hint="eastAsia" w:ascii="宋体" w:hAnsi="宋体"/>
          <w:b/>
          <w:szCs w:val="21"/>
        </w:rPr>
        <w:t>3、供应商若成交的，须将合同复印件和《退还保证金函》送至或发邮箱至本公司财务部后方可退回磋商保证金，若因材料不齐全未能及时退还保证金的，福建康泰招标有限公司将不负法律与经济责任。</w:t>
      </w:r>
    </w:p>
    <w:p>
      <w:pPr>
        <w:rPr>
          <w:rFonts w:ascii="宋体" w:hAnsi="宋体"/>
          <w:b/>
          <w:szCs w:val="21"/>
        </w:rPr>
      </w:pPr>
      <w:r>
        <w:rPr>
          <w:rFonts w:hint="eastAsia" w:ascii="宋体" w:hAnsi="宋体"/>
          <w:b/>
          <w:szCs w:val="21"/>
        </w:rPr>
        <w:t>4、退还保证金联系人：许女士，电话：0591-87803505转818。</w:t>
      </w:r>
    </w:p>
    <w:p>
      <w:pPr>
        <w:pStyle w:val="18"/>
        <w:widowControl/>
        <w:adjustRightInd w:val="0"/>
        <w:spacing w:before="75" w:beforeAutospacing="0" w:after="75" w:afterAutospacing="0"/>
        <w:rPr>
          <w:rFonts w:ascii="宋体" w:hAnsi="宋体" w:cs="宋体"/>
          <w:color w:val="000000" w:themeColor="text1"/>
          <w14:textFill>
            <w14:solidFill>
              <w14:schemeClr w14:val="tx1"/>
            </w14:solidFill>
          </w14:textFill>
        </w:rPr>
      </w:pPr>
    </w:p>
    <w:sectPr>
      <w:pgSz w:w="11906" w:h="16838"/>
      <w:pgMar w:top="1440" w:right="190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sans-serif">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3168"/>
    </w:sdtPr>
    <w:sdtContent>
      <w:p>
        <w:pPr>
          <w:pStyle w:val="13"/>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3"/>
          <w:jc w:val="center"/>
        </w:pPr>
        <w:r>
          <w:fldChar w:fldCharType="begin"/>
        </w:r>
        <w:r>
          <w:instrText xml:space="preserve">PAGE   \* MERGEFORMAT</w:instrText>
        </w:r>
        <w:r>
          <w:fldChar w:fldCharType="separate"/>
        </w:r>
        <w: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5"/>
      </w:rPr>
    </w:pPr>
    <w:r>
      <w:fldChar w:fldCharType="begin"/>
    </w:r>
    <w:r>
      <w:rPr>
        <w:rStyle w:val="25"/>
      </w:rPr>
      <w:instrText xml:space="preserve">PAGE  </w:instrText>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项目名称：天津大学福州国际联合学院2023</w:t>
    </w:r>
    <w:r>
      <w:t>-2024</w:t>
    </w:r>
    <w:r>
      <w:rPr>
        <w:rFonts w:hint="eastAsia"/>
      </w:rPr>
      <w:t>年度招标代理服务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项目名称：天津大学福州国际联合学院2023-2024年度招标代理服务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NjQ0ZWZmN2U4NWYyMGNhZWRiNTU1MDBjOWRhYzgifQ=="/>
  </w:docVars>
  <w:rsids>
    <w:rsidRoot w:val="00172A27"/>
    <w:rsid w:val="00025683"/>
    <w:rsid w:val="000273CC"/>
    <w:rsid w:val="00072696"/>
    <w:rsid w:val="0008118B"/>
    <w:rsid w:val="00096110"/>
    <w:rsid w:val="000D02AE"/>
    <w:rsid w:val="000D2FD8"/>
    <w:rsid w:val="000E4BB8"/>
    <w:rsid w:val="000F4F0F"/>
    <w:rsid w:val="00152CAF"/>
    <w:rsid w:val="00172A27"/>
    <w:rsid w:val="00190A64"/>
    <w:rsid w:val="001B2C3E"/>
    <w:rsid w:val="00210F83"/>
    <w:rsid w:val="00245A36"/>
    <w:rsid w:val="00292BAB"/>
    <w:rsid w:val="002B4E9F"/>
    <w:rsid w:val="002B5596"/>
    <w:rsid w:val="002E4066"/>
    <w:rsid w:val="002E6066"/>
    <w:rsid w:val="002F5EB5"/>
    <w:rsid w:val="00317855"/>
    <w:rsid w:val="00364A07"/>
    <w:rsid w:val="003B2829"/>
    <w:rsid w:val="003C0AB6"/>
    <w:rsid w:val="003D6656"/>
    <w:rsid w:val="003F3C30"/>
    <w:rsid w:val="004713DA"/>
    <w:rsid w:val="00477803"/>
    <w:rsid w:val="004B0D73"/>
    <w:rsid w:val="004B402D"/>
    <w:rsid w:val="004C6249"/>
    <w:rsid w:val="004D49FC"/>
    <w:rsid w:val="00506746"/>
    <w:rsid w:val="00552970"/>
    <w:rsid w:val="00554DA6"/>
    <w:rsid w:val="00595DB4"/>
    <w:rsid w:val="005A771B"/>
    <w:rsid w:val="00601369"/>
    <w:rsid w:val="00603619"/>
    <w:rsid w:val="00616337"/>
    <w:rsid w:val="0067584D"/>
    <w:rsid w:val="006864C1"/>
    <w:rsid w:val="00706040"/>
    <w:rsid w:val="007401FA"/>
    <w:rsid w:val="00756729"/>
    <w:rsid w:val="007C36FE"/>
    <w:rsid w:val="007E4CA5"/>
    <w:rsid w:val="007F5585"/>
    <w:rsid w:val="0080438F"/>
    <w:rsid w:val="00832B00"/>
    <w:rsid w:val="00864AA8"/>
    <w:rsid w:val="0089189B"/>
    <w:rsid w:val="00895A95"/>
    <w:rsid w:val="008B53A8"/>
    <w:rsid w:val="008C6C96"/>
    <w:rsid w:val="008D3725"/>
    <w:rsid w:val="008E0C60"/>
    <w:rsid w:val="008E25F9"/>
    <w:rsid w:val="00923188"/>
    <w:rsid w:val="009279B6"/>
    <w:rsid w:val="00950488"/>
    <w:rsid w:val="00971E93"/>
    <w:rsid w:val="0097598A"/>
    <w:rsid w:val="00977925"/>
    <w:rsid w:val="009960FF"/>
    <w:rsid w:val="009A44C3"/>
    <w:rsid w:val="009E0674"/>
    <w:rsid w:val="00A347F6"/>
    <w:rsid w:val="00A55EDE"/>
    <w:rsid w:val="00A87530"/>
    <w:rsid w:val="00A95315"/>
    <w:rsid w:val="00AB25BD"/>
    <w:rsid w:val="00AF3138"/>
    <w:rsid w:val="00BA3665"/>
    <w:rsid w:val="00BB019E"/>
    <w:rsid w:val="00BB33F9"/>
    <w:rsid w:val="00BB4DBF"/>
    <w:rsid w:val="00BC01B1"/>
    <w:rsid w:val="00C0240D"/>
    <w:rsid w:val="00C060C6"/>
    <w:rsid w:val="00C12DE3"/>
    <w:rsid w:val="00C43B85"/>
    <w:rsid w:val="00C7090C"/>
    <w:rsid w:val="00CC3149"/>
    <w:rsid w:val="00D056CF"/>
    <w:rsid w:val="00D40D69"/>
    <w:rsid w:val="00D846CF"/>
    <w:rsid w:val="00D91764"/>
    <w:rsid w:val="00D9552F"/>
    <w:rsid w:val="00DF75B7"/>
    <w:rsid w:val="00E12EF2"/>
    <w:rsid w:val="00E26937"/>
    <w:rsid w:val="00E32D5A"/>
    <w:rsid w:val="00E738FA"/>
    <w:rsid w:val="00E80495"/>
    <w:rsid w:val="00F26846"/>
    <w:rsid w:val="00F52A8D"/>
    <w:rsid w:val="00F72191"/>
    <w:rsid w:val="00F73121"/>
    <w:rsid w:val="00FC6C86"/>
    <w:rsid w:val="00FF0998"/>
    <w:rsid w:val="010F3B4F"/>
    <w:rsid w:val="010F4FD2"/>
    <w:rsid w:val="011078C7"/>
    <w:rsid w:val="011473B7"/>
    <w:rsid w:val="0116312F"/>
    <w:rsid w:val="012E50C2"/>
    <w:rsid w:val="01396E1E"/>
    <w:rsid w:val="013E2686"/>
    <w:rsid w:val="01474501"/>
    <w:rsid w:val="01683AAC"/>
    <w:rsid w:val="016A6FD7"/>
    <w:rsid w:val="01787946"/>
    <w:rsid w:val="017B2F92"/>
    <w:rsid w:val="018F4C90"/>
    <w:rsid w:val="018F6A3E"/>
    <w:rsid w:val="019422A6"/>
    <w:rsid w:val="019B1886"/>
    <w:rsid w:val="01A324E9"/>
    <w:rsid w:val="01B85F94"/>
    <w:rsid w:val="01C20BC1"/>
    <w:rsid w:val="01CE57B8"/>
    <w:rsid w:val="01D2656F"/>
    <w:rsid w:val="01DA23AF"/>
    <w:rsid w:val="01FE3B18"/>
    <w:rsid w:val="0200793B"/>
    <w:rsid w:val="02117D9A"/>
    <w:rsid w:val="02301FCF"/>
    <w:rsid w:val="02511F45"/>
    <w:rsid w:val="02537157"/>
    <w:rsid w:val="0270503E"/>
    <w:rsid w:val="02781BC8"/>
    <w:rsid w:val="02816CCE"/>
    <w:rsid w:val="028B18FB"/>
    <w:rsid w:val="028B36A9"/>
    <w:rsid w:val="028E13EB"/>
    <w:rsid w:val="02927BFA"/>
    <w:rsid w:val="029F7154"/>
    <w:rsid w:val="02AD1871"/>
    <w:rsid w:val="02BC3862"/>
    <w:rsid w:val="02BC7D06"/>
    <w:rsid w:val="02C44E0D"/>
    <w:rsid w:val="02C646E1"/>
    <w:rsid w:val="02CE3596"/>
    <w:rsid w:val="02D60C8A"/>
    <w:rsid w:val="02DC2156"/>
    <w:rsid w:val="02E42DB9"/>
    <w:rsid w:val="02E502B4"/>
    <w:rsid w:val="02E62FD5"/>
    <w:rsid w:val="02E66B31"/>
    <w:rsid w:val="02ED4364"/>
    <w:rsid w:val="02EF1E8A"/>
    <w:rsid w:val="02F54FC6"/>
    <w:rsid w:val="03011BBD"/>
    <w:rsid w:val="0304528E"/>
    <w:rsid w:val="03052F0B"/>
    <w:rsid w:val="03247659"/>
    <w:rsid w:val="032D650E"/>
    <w:rsid w:val="03394EB3"/>
    <w:rsid w:val="034026E5"/>
    <w:rsid w:val="0341667A"/>
    <w:rsid w:val="03472F0B"/>
    <w:rsid w:val="034A70C0"/>
    <w:rsid w:val="03591AC8"/>
    <w:rsid w:val="03630182"/>
    <w:rsid w:val="03660F46"/>
    <w:rsid w:val="036D4B44"/>
    <w:rsid w:val="03714EA2"/>
    <w:rsid w:val="03760778"/>
    <w:rsid w:val="038077AF"/>
    <w:rsid w:val="038500F8"/>
    <w:rsid w:val="039447DF"/>
    <w:rsid w:val="03AA2817"/>
    <w:rsid w:val="03AA4003"/>
    <w:rsid w:val="03AF786B"/>
    <w:rsid w:val="03C2759E"/>
    <w:rsid w:val="03E10D79"/>
    <w:rsid w:val="03E33071"/>
    <w:rsid w:val="03E47515"/>
    <w:rsid w:val="03EC63C9"/>
    <w:rsid w:val="03F11C32"/>
    <w:rsid w:val="03F82FC0"/>
    <w:rsid w:val="03FB03BA"/>
    <w:rsid w:val="040C6A6B"/>
    <w:rsid w:val="04122C1C"/>
    <w:rsid w:val="04131BA8"/>
    <w:rsid w:val="04174EAA"/>
    <w:rsid w:val="042C0EBC"/>
    <w:rsid w:val="042E6128"/>
    <w:rsid w:val="0449381C"/>
    <w:rsid w:val="044955CA"/>
    <w:rsid w:val="044D31A8"/>
    <w:rsid w:val="04534FE7"/>
    <w:rsid w:val="04536F9A"/>
    <w:rsid w:val="04545D1C"/>
    <w:rsid w:val="04581CB1"/>
    <w:rsid w:val="045F4DED"/>
    <w:rsid w:val="046436F3"/>
    <w:rsid w:val="047F2D99"/>
    <w:rsid w:val="04800661"/>
    <w:rsid w:val="049B394B"/>
    <w:rsid w:val="049C1B9D"/>
    <w:rsid w:val="049F51EA"/>
    <w:rsid w:val="04A942BA"/>
    <w:rsid w:val="04BA727C"/>
    <w:rsid w:val="04CF45BE"/>
    <w:rsid w:val="04DF1A8A"/>
    <w:rsid w:val="04E452F2"/>
    <w:rsid w:val="04FE63B4"/>
    <w:rsid w:val="05054689"/>
    <w:rsid w:val="05096B07"/>
    <w:rsid w:val="05097161"/>
    <w:rsid w:val="050E236F"/>
    <w:rsid w:val="051200B1"/>
    <w:rsid w:val="05241B93"/>
    <w:rsid w:val="05286C93"/>
    <w:rsid w:val="053C6EDC"/>
    <w:rsid w:val="05445D91"/>
    <w:rsid w:val="05467449"/>
    <w:rsid w:val="055B3806"/>
    <w:rsid w:val="055C7942"/>
    <w:rsid w:val="055E32F7"/>
    <w:rsid w:val="056106F1"/>
    <w:rsid w:val="056420E9"/>
    <w:rsid w:val="057228FE"/>
    <w:rsid w:val="057A5220"/>
    <w:rsid w:val="05850883"/>
    <w:rsid w:val="058B39C0"/>
    <w:rsid w:val="058C63F9"/>
    <w:rsid w:val="05917228"/>
    <w:rsid w:val="059A3C03"/>
    <w:rsid w:val="05A221EF"/>
    <w:rsid w:val="05A50F26"/>
    <w:rsid w:val="05A54A82"/>
    <w:rsid w:val="05AD3936"/>
    <w:rsid w:val="05D11D1B"/>
    <w:rsid w:val="05DB7947"/>
    <w:rsid w:val="05DE7F94"/>
    <w:rsid w:val="05EA2DDC"/>
    <w:rsid w:val="05EC445F"/>
    <w:rsid w:val="05EF3F4F"/>
    <w:rsid w:val="060A3C09"/>
    <w:rsid w:val="06167341"/>
    <w:rsid w:val="063A6348"/>
    <w:rsid w:val="063B7194"/>
    <w:rsid w:val="065D710A"/>
    <w:rsid w:val="06640C87"/>
    <w:rsid w:val="066A7A79"/>
    <w:rsid w:val="066C559F"/>
    <w:rsid w:val="06936FD0"/>
    <w:rsid w:val="069A210C"/>
    <w:rsid w:val="06AB256C"/>
    <w:rsid w:val="06B07B82"/>
    <w:rsid w:val="06B238FA"/>
    <w:rsid w:val="06B56214"/>
    <w:rsid w:val="06B70F10"/>
    <w:rsid w:val="06B8152D"/>
    <w:rsid w:val="06F00473"/>
    <w:rsid w:val="06FE45AE"/>
    <w:rsid w:val="07035F04"/>
    <w:rsid w:val="071C0D73"/>
    <w:rsid w:val="071D17A4"/>
    <w:rsid w:val="072C146F"/>
    <w:rsid w:val="07342561"/>
    <w:rsid w:val="073A15E7"/>
    <w:rsid w:val="07462294"/>
    <w:rsid w:val="074A3DBB"/>
    <w:rsid w:val="07506BD8"/>
    <w:rsid w:val="075A7625"/>
    <w:rsid w:val="07702E6D"/>
    <w:rsid w:val="0774295E"/>
    <w:rsid w:val="07807554"/>
    <w:rsid w:val="07854B6B"/>
    <w:rsid w:val="078A2181"/>
    <w:rsid w:val="079B25E0"/>
    <w:rsid w:val="079D5B19"/>
    <w:rsid w:val="079E79DA"/>
    <w:rsid w:val="07AD40C1"/>
    <w:rsid w:val="07B23486"/>
    <w:rsid w:val="07B90CB8"/>
    <w:rsid w:val="07BC4304"/>
    <w:rsid w:val="07C5765D"/>
    <w:rsid w:val="07C82CA9"/>
    <w:rsid w:val="07DD49A7"/>
    <w:rsid w:val="07EC6998"/>
    <w:rsid w:val="07FB307F"/>
    <w:rsid w:val="0806270F"/>
    <w:rsid w:val="08074D9A"/>
    <w:rsid w:val="080912D0"/>
    <w:rsid w:val="080C4AF3"/>
    <w:rsid w:val="080D7397"/>
    <w:rsid w:val="08163A15"/>
    <w:rsid w:val="08193505"/>
    <w:rsid w:val="08297BEC"/>
    <w:rsid w:val="082D6FB0"/>
    <w:rsid w:val="08493DEA"/>
    <w:rsid w:val="085207C5"/>
    <w:rsid w:val="085D1644"/>
    <w:rsid w:val="085E0BC2"/>
    <w:rsid w:val="085E6F07"/>
    <w:rsid w:val="08601134"/>
    <w:rsid w:val="086C7AD9"/>
    <w:rsid w:val="087E25FE"/>
    <w:rsid w:val="0889068B"/>
    <w:rsid w:val="088E7A4F"/>
    <w:rsid w:val="08901A19"/>
    <w:rsid w:val="0895702F"/>
    <w:rsid w:val="089D5EE4"/>
    <w:rsid w:val="08A47272"/>
    <w:rsid w:val="08A70B11"/>
    <w:rsid w:val="08B871C5"/>
    <w:rsid w:val="08E56C7E"/>
    <w:rsid w:val="08EE4992"/>
    <w:rsid w:val="08F83980"/>
    <w:rsid w:val="09067F2D"/>
    <w:rsid w:val="090B10A0"/>
    <w:rsid w:val="09104908"/>
    <w:rsid w:val="092E1953"/>
    <w:rsid w:val="093053BA"/>
    <w:rsid w:val="09336848"/>
    <w:rsid w:val="09475E50"/>
    <w:rsid w:val="094D16B8"/>
    <w:rsid w:val="094E71DE"/>
    <w:rsid w:val="095E38C5"/>
    <w:rsid w:val="096133B5"/>
    <w:rsid w:val="098F7BF2"/>
    <w:rsid w:val="099A2423"/>
    <w:rsid w:val="099F7A3A"/>
    <w:rsid w:val="09A6526C"/>
    <w:rsid w:val="09A80FE4"/>
    <w:rsid w:val="09AA6B0A"/>
    <w:rsid w:val="09B741D7"/>
    <w:rsid w:val="09C94AB7"/>
    <w:rsid w:val="09D21BBD"/>
    <w:rsid w:val="09D27E0F"/>
    <w:rsid w:val="09D973F0"/>
    <w:rsid w:val="09DC2A3C"/>
    <w:rsid w:val="09E07D73"/>
    <w:rsid w:val="09E638BB"/>
    <w:rsid w:val="09E87633"/>
    <w:rsid w:val="0A14667A"/>
    <w:rsid w:val="0A1C72DC"/>
    <w:rsid w:val="0A1E43B4"/>
    <w:rsid w:val="0A287A2F"/>
    <w:rsid w:val="0A3208AE"/>
    <w:rsid w:val="0A36214C"/>
    <w:rsid w:val="0A374116"/>
    <w:rsid w:val="0A3D172D"/>
    <w:rsid w:val="0A481E7F"/>
    <w:rsid w:val="0A5D3B7D"/>
    <w:rsid w:val="0A60541B"/>
    <w:rsid w:val="0AA572D2"/>
    <w:rsid w:val="0AA91349"/>
    <w:rsid w:val="0AB80DB3"/>
    <w:rsid w:val="0AC618F4"/>
    <w:rsid w:val="0AC72CD7"/>
    <w:rsid w:val="0AC92FC0"/>
    <w:rsid w:val="0AD025A1"/>
    <w:rsid w:val="0AD100C7"/>
    <w:rsid w:val="0ADB7197"/>
    <w:rsid w:val="0AE510AA"/>
    <w:rsid w:val="0AE93662"/>
    <w:rsid w:val="0AEC4F01"/>
    <w:rsid w:val="0AED3BBB"/>
    <w:rsid w:val="0AED41AA"/>
    <w:rsid w:val="0AEE730E"/>
    <w:rsid w:val="0AF33AA7"/>
    <w:rsid w:val="0AF618DB"/>
    <w:rsid w:val="0B073AE9"/>
    <w:rsid w:val="0B095C84"/>
    <w:rsid w:val="0B32235F"/>
    <w:rsid w:val="0B380146"/>
    <w:rsid w:val="0B3A5C6C"/>
    <w:rsid w:val="0B3F2C50"/>
    <w:rsid w:val="0B446AEB"/>
    <w:rsid w:val="0B454C1E"/>
    <w:rsid w:val="0B494101"/>
    <w:rsid w:val="0B495EAF"/>
    <w:rsid w:val="0B4B6F27"/>
    <w:rsid w:val="0B4D1E43"/>
    <w:rsid w:val="0B6D4294"/>
    <w:rsid w:val="0B73117E"/>
    <w:rsid w:val="0B756CA4"/>
    <w:rsid w:val="0B776CEB"/>
    <w:rsid w:val="0B7E7B52"/>
    <w:rsid w:val="0B9114DE"/>
    <w:rsid w:val="0B9335CE"/>
    <w:rsid w:val="0B971310"/>
    <w:rsid w:val="0B980BE5"/>
    <w:rsid w:val="0B9F6B4F"/>
    <w:rsid w:val="0BA15376"/>
    <w:rsid w:val="0BA15CEB"/>
    <w:rsid w:val="0BAD4690"/>
    <w:rsid w:val="0BC37716"/>
    <w:rsid w:val="0BC40DF9"/>
    <w:rsid w:val="0BCA3CD2"/>
    <w:rsid w:val="0BD75BB1"/>
    <w:rsid w:val="0BD8430F"/>
    <w:rsid w:val="0BD92136"/>
    <w:rsid w:val="0BE14389"/>
    <w:rsid w:val="0BED2901"/>
    <w:rsid w:val="0BEF4CA9"/>
    <w:rsid w:val="0C0A3890"/>
    <w:rsid w:val="0C236700"/>
    <w:rsid w:val="0C2D3A23"/>
    <w:rsid w:val="0C465A58"/>
    <w:rsid w:val="0C517711"/>
    <w:rsid w:val="0C540FAF"/>
    <w:rsid w:val="0C601702"/>
    <w:rsid w:val="0C743400"/>
    <w:rsid w:val="0C776A4C"/>
    <w:rsid w:val="0C8B36B6"/>
    <w:rsid w:val="0C8D626F"/>
    <w:rsid w:val="0C9615C8"/>
    <w:rsid w:val="0CA935B4"/>
    <w:rsid w:val="0CAD06C0"/>
    <w:rsid w:val="0CB16402"/>
    <w:rsid w:val="0CBB4B8B"/>
    <w:rsid w:val="0CC003F3"/>
    <w:rsid w:val="0CC51EAD"/>
    <w:rsid w:val="0CCA3020"/>
    <w:rsid w:val="0CCD48BE"/>
    <w:rsid w:val="0CF8333A"/>
    <w:rsid w:val="0D002EE5"/>
    <w:rsid w:val="0D044784"/>
    <w:rsid w:val="0D053932"/>
    <w:rsid w:val="0D1B387B"/>
    <w:rsid w:val="0D1C7D1F"/>
    <w:rsid w:val="0D336E17"/>
    <w:rsid w:val="0D3D1A44"/>
    <w:rsid w:val="0D3E5A98"/>
    <w:rsid w:val="0D553231"/>
    <w:rsid w:val="0D554FDF"/>
    <w:rsid w:val="0D584ACF"/>
    <w:rsid w:val="0D69371C"/>
    <w:rsid w:val="0D755681"/>
    <w:rsid w:val="0D865199"/>
    <w:rsid w:val="0D8A3823"/>
    <w:rsid w:val="0D8D4779"/>
    <w:rsid w:val="0D9773A6"/>
    <w:rsid w:val="0DA14C0E"/>
    <w:rsid w:val="0DAD0977"/>
    <w:rsid w:val="0DB25F8E"/>
    <w:rsid w:val="0DB553D3"/>
    <w:rsid w:val="0DBD4932"/>
    <w:rsid w:val="0DD979BE"/>
    <w:rsid w:val="0DDC125D"/>
    <w:rsid w:val="0DF212F2"/>
    <w:rsid w:val="0DF256DC"/>
    <w:rsid w:val="0DFB5892"/>
    <w:rsid w:val="0E0367E9"/>
    <w:rsid w:val="0E19600D"/>
    <w:rsid w:val="0E2055ED"/>
    <w:rsid w:val="0E2F75DE"/>
    <w:rsid w:val="0E39045D"/>
    <w:rsid w:val="0E4137B5"/>
    <w:rsid w:val="0E460DCC"/>
    <w:rsid w:val="0E4B1F3E"/>
    <w:rsid w:val="0E537A35"/>
    <w:rsid w:val="0E6C0832"/>
    <w:rsid w:val="0E721BC1"/>
    <w:rsid w:val="0E72396F"/>
    <w:rsid w:val="0E770F85"/>
    <w:rsid w:val="0E792F4F"/>
    <w:rsid w:val="0E7B0A75"/>
    <w:rsid w:val="0E8B67DF"/>
    <w:rsid w:val="0EB775D4"/>
    <w:rsid w:val="0EB94BE7"/>
    <w:rsid w:val="0EBB5316"/>
    <w:rsid w:val="0EC00B7E"/>
    <w:rsid w:val="0EC74F29"/>
    <w:rsid w:val="0ECA5559"/>
    <w:rsid w:val="0ECA7307"/>
    <w:rsid w:val="0ED32660"/>
    <w:rsid w:val="0EDB1514"/>
    <w:rsid w:val="0EED1247"/>
    <w:rsid w:val="0EEF4FBF"/>
    <w:rsid w:val="0EF44384"/>
    <w:rsid w:val="0EFB3964"/>
    <w:rsid w:val="0F022F45"/>
    <w:rsid w:val="0F0813EC"/>
    <w:rsid w:val="0F135152"/>
    <w:rsid w:val="0F184516"/>
    <w:rsid w:val="0F1E7653"/>
    <w:rsid w:val="0F205179"/>
    <w:rsid w:val="0F242EBB"/>
    <w:rsid w:val="0F323244"/>
    <w:rsid w:val="0F4B4170"/>
    <w:rsid w:val="0F4C41C0"/>
    <w:rsid w:val="0F4E1CE6"/>
    <w:rsid w:val="0F503CB0"/>
    <w:rsid w:val="0F56503F"/>
    <w:rsid w:val="0F7248AA"/>
    <w:rsid w:val="0F771971"/>
    <w:rsid w:val="0F8C0A60"/>
    <w:rsid w:val="0FA20284"/>
    <w:rsid w:val="0FA94FB4"/>
    <w:rsid w:val="0FAB7138"/>
    <w:rsid w:val="0FB32491"/>
    <w:rsid w:val="0FCD396B"/>
    <w:rsid w:val="0FD06B9F"/>
    <w:rsid w:val="0FD3043D"/>
    <w:rsid w:val="0FD541B5"/>
    <w:rsid w:val="0FE4089C"/>
    <w:rsid w:val="0FE947B0"/>
    <w:rsid w:val="0FF06A16"/>
    <w:rsid w:val="0FF52AA9"/>
    <w:rsid w:val="100827DD"/>
    <w:rsid w:val="100B5E29"/>
    <w:rsid w:val="101A2510"/>
    <w:rsid w:val="1021564D"/>
    <w:rsid w:val="104135F9"/>
    <w:rsid w:val="1045758D"/>
    <w:rsid w:val="104A4BA3"/>
    <w:rsid w:val="104B2B73"/>
    <w:rsid w:val="104D6442"/>
    <w:rsid w:val="10521CAA"/>
    <w:rsid w:val="105D5452"/>
    <w:rsid w:val="106B4B1A"/>
    <w:rsid w:val="106C2D6C"/>
    <w:rsid w:val="1070644D"/>
    <w:rsid w:val="107240FA"/>
    <w:rsid w:val="10855BDB"/>
    <w:rsid w:val="108C6F6A"/>
    <w:rsid w:val="10A02A15"/>
    <w:rsid w:val="10AA61E9"/>
    <w:rsid w:val="10AD0C8E"/>
    <w:rsid w:val="10D66437"/>
    <w:rsid w:val="10DC1574"/>
    <w:rsid w:val="10E32902"/>
    <w:rsid w:val="10E36DA6"/>
    <w:rsid w:val="10ED3781"/>
    <w:rsid w:val="10ED552F"/>
    <w:rsid w:val="10F64275"/>
    <w:rsid w:val="11056D1C"/>
    <w:rsid w:val="111156C1"/>
    <w:rsid w:val="1125116C"/>
    <w:rsid w:val="11254C3C"/>
    <w:rsid w:val="112C24FB"/>
    <w:rsid w:val="114E309A"/>
    <w:rsid w:val="116363EF"/>
    <w:rsid w:val="116752E1"/>
    <w:rsid w:val="116C28F7"/>
    <w:rsid w:val="116F149C"/>
    <w:rsid w:val="11763776"/>
    <w:rsid w:val="118C11EC"/>
    <w:rsid w:val="11991213"/>
    <w:rsid w:val="11A7392F"/>
    <w:rsid w:val="11B205C1"/>
    <w:rsid w:val="11C95F9C"/>
    <w:rsid w:val="11E84674"/>
    <w:rsid w:val="11EB5F12"/>
    <w:rsid w:val="11F33019"/>
    <w:rsid w:val="11FD5C45"/>
    <w:rsid w:val="12091866"/>
    <w:rsid w:val="120D3E5D"/>
    <w:rsid w:val="121216F1"/>
    <w:rsid w:val="12174F59"/>
    <w:rsid w:val="1218482D"/>
    <w:rsid w:val="121B2245"/>
    <w:rsid w:val="121C431D"/>
    <w:rsid w:val="121F3E0E"/>
    <w:rsid w:val="121F3EC0"/>
    <w:rsid w:val="122D02D9"/>
    <w:rsid w:val="126F6B43"/>
    <w:rsid w:val="127777A6"/>
    <w:rsid w:val="1283439D"/>
    <w:rsid w:val="1288550F"/>
    <w:rsid w:val="128A74D9"/>
    <w:rsid w:val="128D0D77"/>
    <w:rsid w:val="1299771C"/>
    <w:rsid w:val="12A06CFD"/>
    <w:rsid w:val="12A165D1"/>
    <w:rsid w:val="12B46304"/>
    <w:rsid w:val="12B75DF4"/>
    <w:rsid w:val="12BD3A84"/>
    <w:rsid w:val="12C0517B"/>
    <w:rsid w:val="12C24488"/>
    <w:rsid w:val="12C56763"/>
    <w:rsid w:val="12C66037"/>
    <w:rsid w:val="12C86253"/>
    <w:rsid w:val="12CD73C6"/>
    <w:rsid w:val="12E017EF"/>
    <w:rsid w:val="12E27315"/>
    <w:rsid w:val="12F26E2C"/>
    <w:rsid w:val="12FC5EFD"/>
    <w:rsid w:val="12FE7EC7"/>
    <w:rsid w:val="13113756"/>
    <w:rsid w:val="131A2F66"/>
    <w:rsid w:val="13207E3D"/>
    <w:rsid w:val="133D09EF"/>
    <w:rsid w:val="134578A4"/>
    <w:rsid w:val="134A310C"/>
    <w:rsid w:val="134F427F"/>
    <w:rsid w:val="135A4858"/>
    <w:rsid w:val="135B0E75"/>
    <w:rsid w:val="136A730B"/>
    <w:rsid w:val="138B7476"/>
    <w:rsid w:val="139879D4"/>
    <w:rsid w:val="139D323C"/>
    <w:rsid w:val="13AE369B"/>
    <w:rsid w:val="13B45041"/>
    <w:rsid w:val="13C702B9"/>
    <w:rsid w:val="13D053C0"/>
    <w:rsid w:val="13D8264F"/>
    <w:rsid w:val="13DF5603"/>
    <w:rsid w:val="13E57B0C"/>
    <w:rsid w:val="13E744B7"/>
    <w:rsid w:val="13EE1CEA"/>
    <w:rsid w:val="13EE5846"/>
    <w:rsid w:val="14053A55"/>
    <w:rsid w:val="140C03C2"/>
    <w:rsid w:val="140E7C96"/>
    <w:rsid w:val="14131750"/>
    <w:rsid w:val="14276FAA"/>
    <w:rsid w:val="14280A5A"/>
    <w:rsid w:val="14447B5C"/>
    <w:rsid w:val="144E2788"/>
    <w:rsid w:val="14530DB9"/>
    <w:rsid w:val="1468742B"/>
    <w:rsid w:val="146B50E8"/>
    <w:rsid w:val="146D70B2"/>
    <w:rsid w:val="14751297"/>
    <w:rsid w:val="147815B3"/>
    <w:rsid w:val="147A532B"/>
    <w:rsid w:val="148937C0"/>
    <w:rsid w:val="148D505F"/>
    <w:rsid w:val="14904B4F"/>
    <w:rsid w:val="149D101A"/>
    <w:rsid w:val="14A66FC8"/>
    <w:rsid w:val="14AA20B4"/>
    <w:rsid w:val="14BC1DE8"/>
    <w:rsid w:val="14BE346A"/>
    <w:rsid w:val="14C50C9C"/>
    <w:rsid w:val="14D53E31"/>
    <w:rsid w:val="14E640C7"/>
    <w:rsid w:val="14FC3F92"/>
    <w:rsid w:val="150115A9"/>
    <w:rsid w:val="15015A4D"/>
    <w:rsid w:val="150F0169"/>
    <w:rsid w:val="151B4D60"/>
    <w:rsid w:val="15221A27"/>
    <w:rsid w:val="153C6A85"/>
    <w:rsid w:val="15597637"/>
    <w:rsid w:val="15644693"/>
    <w:rsid w:val="15771F27"/>
    <w:rsid w:val="15853F88"/>
    <w:rsid w:val="15897F1C"/>
    <w:rsid w:val="158A3C94"/>
    <w:rsid w:val="15981F0D"/>
    <w:rsid w:val="15993EB1"/>
    <w:rsid w:val="15A7745D"/>
    <w:rsid w:val="15AC1C96"/>
    <w:rsid w:val="15AF7257"/>
    <w:rsid w:val="15B900D5"/>
    <w:rsid w:val="15C02ED8"/>
    <w:rsid w:val="15C26F8A"/>
    <w:rsid w:val="15D66ED9"/>
    <w:rsid w:val="15FD6214"/>
    <w:rsid w:val="1602382A"/>
    <w:rsid w:val="16135A37"/>
    <w:rsid w:val="161A2C85"/>
    <w:rsid w:val="16223ECC"/>
    <w:rsid w:val="163C459B"/>
    <w:rsid w:val="163D4862"/>
    <w:rsid w:val="16446688"/>
    <w:rsid w:val="164563C0"/>
    <w:rsid w:val="165247B2"/>
    <w:rsid w:val="16534086"/>
    <w:rsid w:val="165F0C7D"/>
    <w:rsid w:val="166149F5"/>
    <w:rsid w:val="16716E1B"/>
    <w:rsid w:val="16730284"/>
    <w:rsid w:val="16731205"/>
    <w:rsid w:val="16783AEC"/>
    <w:rsid w:val="167D08D1"/>
    <w:rsid w:val="16944D92"/>
    <w:rsid w:val="169528F0"/>
    <w:rsid w:val="16976668"/>
    <w:rsid w:val="16983049"/>
    <w:rsid w:val="16C3745D"/>
    <w:rsid w:val="16CB4564"/>
    <w:rsid w:val="16CB6312"/>
    <w:rsid w:val="16D57191"/>
    <w:rsid w:val="16DE7DF3"/>
    <w:rsid w:val="16E80C72"/>
    <w:rsid w:val="16EB2510"/>
    <w:rsid w:val="16ED0C5F"/>
    <w:rsid w:val="16FB1706"/>
    <w:rsid w:val="16FC471D"/>
    <w:rsid w:val="16FE0496"/>
    <w:rsid w:val="170D2487"/>
    <w:rsid w:val="1711641B"/>
    <w:rsid w:val="17231CAA"/>
    <w:rsid w:val="172A0557"/>
    <w:rsid w:val="17315194"/>
    <w:rsid w:val="17345C65"/>
    <w:rsid w:val="173D311C"/>
    <w:rsid w:val="174D4F79"/>
    <w:rsid w:val="175D340E"/>
    <w:rsid w:val="175E0F34"/>
    <w:rsid w:val="17606A5A"/>
    <w:rsid w:val="17681BC1"/>
    <w:rsid w:val="176E561B"/>
    <w:rsid w:val="17732C32"/>
    <w:rsid w:val="17797B1C"/>
    <w:rsid w:val="177C142C"/>
    <w:rsid w:val="177C760C"/>
    <w:rsid w:val="177E5132"/>
    <w:rsid w:val="1787048B"/>
    <w:rsid w:val="178C1D45"/>
    <w:rsid w:val="1791130A"/>
    <w:rsid w:val="179B3F36"/>
    <w:rsid w:val="179B584A"/>
    <w:rsid w:val="179D7CAF"/>
    <w:rsid w:val="17A0779F"/>
    <w:rsid w:val="17A50911"/>
    <w:rsid w:val="17AC5292"/>
    <w:rsid w:val="17BB6387"/>
    <w:rsid w:val="17C074F9"/>
    <w:rsid w:val="17C35970"/>
    <w:rsid w:val="17CD1C16"/>
    <w:rsid w:val="17D11706"/>
    <w:rsid w:val="17D318ED"/>
    <w:rsid w:val="17D336D0"/>
    <w:rsid w:val="17D42FA4"/>
    <w:rsid w:val="17D954AF"/>
    <w:rsid w:val="17D9680D"/>
    <w:rsid w:val="17DF02C7"/>
    <w:rsid w:val="17E80562"/>
    <w:rsid w:val="17EE4066"/>
    <w:rsid w:val="17F43647"/>
    <w:rsid w:val="17F673BF"/>
    <w:rsid w:val="18041ADC"/>
    <w:rsid w:val="18055854"/>
    <w:rsid w:val="18090EA0"/>
    <w:rsid w:val="181635BD"/>
    <w:rsid w:val="182F467F"/>
    <w:rsid w:val="183121A5"/>
    <w:rsid w:val="18335F1D"/>
    <w:rsid w:val="183C74C7"/>
    <w:rsid w:val="184053F3"/>
    <w:rsid w:val="184C6FDF"/>
    <w:rsid w:val="18553A61"/>
    <w:rsid w:val="18610CDC"/>
    <w:rsid w:val="186B1B5B"/>
    <w:rsid w:val="186D1CDA"/>
    <w:rsid w:val="186E33F9"/>
    <w:rsid w:val="18714C97"/>
    <w:rsid w:val="18786026"/>
    <w:rsid w:val="187C2B7B"/>
    <w:rsid w:val="188B5D59"/>
    <w:rsid w:val="188D7D23"/>
    <w:rsid w:val="18972950"/>
    <w:rsid w:val="18B0756E"/>
    <w:rsid w:val="18B232E6"/>
    <w:rsid w:val="18BF5A03"/>
    <w:rsid w:val="18E67433"/>
    <w:rsid w:val="18EB67F8"/>
    <w:rsid w:val="18F002B2"/>
    <w:rsid w:val="18F13E8A"/>
    <w:rsid w:val="18F57676"/>
    <w:rsid w:val="19017DC9"/>
    <w:rsid w:val="19037FE5"/>
    <w:rsid w:val="19121FD6"/>
    <w:rsid w:val="19187493"/>
    <w:rsid w:val="192B3DF5"/>
    <w:rsid w:val="192E743F"/>
    <w:rsid w:val="19363992"/>
    <w:rsid w:val="194A79C2"/>
    <w:rsid w:val="19616ABA"/>
    <w:rsid w:val="19670574"/>
    <w:rsid w:val="196F7429"/>
    <w:rsid w:val="19726F19"/>
    <w:rsid w:val="198033E4"/>
    <w:rsid w:val="19866520"/>
    <w:rsid w:val="198D4044"/>
    <w:rsid w:val="19957A1E"/>
    <w:rsid w:val="1998697F"/>
    <w:rsid w:val="19A669C5"/>
    <w:rsid w:val="19B31CAB"/>
    <w:rsid w:val="19BB441C"/>
    <w:rsid w:val="19BE5CBA"/>
    <w:rsid w:val="19C77265"/>
    <w:rsid w:val="19D84FCE"/>
    <w:rsid w:val="19E00326"/>
    <w:rsid w:val="19E75211"/>
    <w:rsid w:val="1A07140F"/>
    <w:rsid w:val="1A0941AF"/>
    <w:rsid w:val="1A1B4EBB"/>
    <w:rsid w:val="1A204BC7"/>
    <w:rsid w:val="1A226249"/>
    <w:rsid w:val="1A2E4BEE"/>
    <w:rsid w:val="1A3226FE"/>
    <w:rsid w:val="1A366198"/>
    <w:rsid w:val="1A4563DB"/>
    <w:rsid w:val="1A473F02"/>
    <w:rsid w:val="1A4E703E"/>
    <w:rsid w:val="1A5F56EF"/>
    <w:rsid w:val="1A6C3968"/>
    <w:rsid w:val="1A7171D0"/>
    <w:rsid w:val="1A7D3DC7"/>
    <w:rsid w:val="1A9712AD"/>
    <w:rsid w:val="1A9F789A"/>
    <w:rsid w:val="1AA40081"/>
    <w:rsid w:val="1AB8095B"/>
    <w:rsid w:val="1AC90DBB"/>
    <w:rsid w:val="1ADD03C2"/>
    <w:rsid w:val="1AE45BF4"/>
    <w:rsid w:val="1AED4AA9"/>
    <w:rsid w:val="1AF04599"/>
    <w:rsid w:val="1AFD2812"/>
    <w:rsid w:val="1AFE6CB6"/>
    <w:rsid w:val="1B011078"/>
    <w:rsid w:val="1B0342CC"/>
    <w:rsid w:val="1B041DF3"/>
    <w:rsid w:val="1B083691"/>
    <w:rsid w:val="1B087B35"/>
    <w:rsid w:val="1B117C6E"/>
    <w:rsid w:val="1B132036"/>
    <w:rsid w:val="1B1A7868"/>
    <w:rsid w:val="1B423A2C"/>
    <w:rsid w:val="1B503211"/>
    <w:rsid w:val="1B656F7F"/>
    <w:rsid w:val="1B6D7998"/>
    <w:rsid w:val="1B770817"/>
    <w:rsid w:val="1B7F1479"/>
    <w:rsid w:val="1B966EEF"/>
    <w:rsid w:val="1B9E6C46"/>
    <w:rsid w:val="1BA4646B"/>
    <w:rsid w:val="1BA50EE0"/>
    <w:rsid w:val="1BBB0703"/>
    <w:rsid w:val="1BD01CD5"/>
    <w:rsid w:val="1BD2108A"/>
    <w:rsid w:val="1BE50E0C"/>
    <w:rsid w:val="1BF161EA"/>
    <w:rsid w:val="1BF34341"/>
    <w:rsid w:val="1C0F4EF3"/>
    <w:rsid w:val="1C113986"/>
    <w:rsid w:val="1C14361B"/>
    <w:rsid w:val="1C16002F"/>
    <w:rsid w:val="1C27223D"/>
    <w:rsid w:val="1C273FEB"/>
    <w:rsid w:val="1C3B5CE8"/>
    <w:rsid w:val="1C3D55BC"/>
    <w:rsid w:val="1C3F1D11"/>
    <w:rsid w:val="1C4306F9"/>
    <w:rsid w:val="1C451422"/>
    <w:rsid w:val="1C493F61"/>
    <w:rsid w:val="1C4F52EF"/>
    <w:rsid w:val="1C6C5EA1"/>
    <w:rsid w:val="1C7955F9"/>
    <w:rsid w:val="1CA53161"/>
    <w:rsid w:val="1CA70C88"/>
    <w:rsid w:val="1CB177B7"/>
    <w:rsid w:val="1CB17D58"/>
    <w:rsid w:val="1CB82BD2"/>
    <w:rsid w:val="1CBB2A94"/>
    <w:rsid w:val="1CC730D8"/>
    <w:rsid w:val="1CD37CCF"/>
    <w:rsid w:val="1CE617B0"/>
    <w:rsid w:val="1CE7377A"/>
    <w:rsid w:val="1CEA59CF"/>
    <w:rsid w:val="1CED6FE2"/>
    <w:rsid w:val="1CF163A7"/>
    <w:rsid w:val="1D04257E"/>
    <w:rsid w:val="1D061E52"/>
    <w:rsid w:val="1D091942"/>
    <w:rsid w:val="1D175E0D"/>
    <w:rsid w:val="1D1C3424"/>
    <w:rsid w:val="1D1D0F4A"/>
    <w:rsid w:val="1D230C56"/>
    <w:rsid w:val="1D2E3157"/>
    <w:rsid w:val="1D305121"/>
    <w:rsid w:val="1D37025D"/>
    <w:rsid w:val="1D3C0585"/>
    <w:rsid w:val="1D3F7112"/>
    <w:rsid w:val="1D41732E"/>
    <w:rsid w:val="1D425975"/>
    <w:rsid w:val="1D4A4435"/>
    <w:rsid w:val="1D4A4DA3"/>
    <w:rsid w:val="1D4F2D77"/>
    <w:rsid w:val="1D507571"/>
    <w:rsid w:val="1D532BBD"/>
    <w:rsid w:val="1D5A219E"/>
    <w:rsid w:val="1D691539"/>
    <w:rsid w:val="1D701235"/>
    <w:rsid w:val="1D765769"/>
    <w:rsid w:val="1D7B69ED"/>
    <w:rsid w:val="1D7C0366"/>
    <w:rsid w:val="1D7C2114"/>
    <w:rsid w:val="1DA5166B"/>
    <w:rsid w:val="1DAC513D"/>
    <w:rsid w:val="1DAF2C13"/>
    <w:rsid w:val="1DB00010"/>
    <w:rsid w:val="1DB63878"/>
    <w:rsid w:val="1DC21918"/>
    <w:rsid w:val="1DCF2CA2"/>
    <w:rsid w:val="1DCF66E8"/>
    <w:rsid w:val="1DD0420E"/>
    <w:rsid w:val="1DD73DF8"/>
    <w:rsid w:val="1DE1641B"/>
    <w:rsid w:val="1DFE0D7B"/>
    <w:rsid w:val="1E0F4D36"/>
    <w:rsid w:val="1E193E07"/>
    <w:rsid w:val="1E206F43"/>
    <w:rsid w:val="1E2244BE"/>
    <w:rsid w:val="1E25455A"/>
    <w:rsid w:val="1E256308"/>
    <w:rsid w:val="1E37428D"/>
    <w:rsid w:val="1E414E4D"/>
    <w:rsid w:val="1E5135A1"/>
    <w:rsid w:val="1E5310C7"/>
    <w:rsid w:val="1E5319B7"/>
    <w:rsid w:val="1E546BED"/>
    <w:rsid w:val="1E57048B"/>
    <w:rsid w:val="1E5906A7"/>
    <w:rsid w:val="1E6037E4"/>
    <w:rsid w:val="1E682698"/>
    <w:rsid w:val="1E6E4153"/>
    <w:rsid w:val="1E8F7C25"/>
    <w:rsid w:val="1EA731C1"/>
    <w:rsid w:val="1EB15DEE"/>
    <w:rsid w:val="1EB44B08"/>
    <w:rsid w:val="1ED3045A"/>
    <w:rsid w:val="1ED747B6"/>
    <w:rsid w:val="1EE95587"/>
    <w:rsid w:val="1EF06916"/>
    <w:rsid w:val="1EF67CA4"/>
    <w:rsid w:val="1EF87EC0"/>
    <w:rsid w:val="1F1F71FB"/>
    <w:rsid w:val="1F204D21"/>
    <w:rsid w:val="1F422183"/>
    <w:rsid w:val="1F4570D0"/>
    <w:rsid w:val="1F4629DA"/>
    <w:rsid w:val="1F5642E7"/>
    <w:rsid w:val="1F576995"/>
    <w:rsid w:val="1F7C289F"/>
    <w:rsid w:val="1F811C64"/>
    <w:rsid w:val="1F9000F9"/>
    <w:rsid w:val="1FA140B4"/>
    <w:rsid w:val="1FA83694"/>
    <w:rsid w:val="1FBB64FE"/>
    <w:rsid w:val="1FBE4C66"/>
    <w:rsid w:val="1FCA360B"/>
    <w:rsid w:val="1FCB2EDF"/>
    <w:rsid w:val="1FCD4EA9"/>
    <w:rsid w:val="1FD32107"/>
    <w:rsid w:val="1FD9384E"/>
    <w:rsid w:val="1FE06DFE"/>
    <w:rsid w:val="1FE346CD"/>
    <w:rsid w:val="1FE54F61"/>
    <w:rsid w:val="1FE57ECE"/>
    <w:rsid w:val="1FEF4E1F"/>
    <w:rsid w:val="1FF16DE9"/>
    <w:rsid w:val="1FF97A4C"/>
    <w:rsid w:val="1FFC753C"/>
    <w:rsid w:val="200E48D6"/>
    <w:rsid w:val="201921B1"/>
    <w:rsid w:val="20280331"/>
    <w:rsid w:val="202C6073"/>
    <w:rsid w:val="205070A2"/>
    <w:rsid w:val="20517888"/>
    <w:rsid w:val="205D447F"/>
    <w:rsid w:val="2063580D"/>
    <w:rsid w:val="20655F64"/>
    <w:rsid w:val="20685C53"/>
    <w:rsid w:val="206E043A"/>
    <w:rsid w:val="20784365"/>
    <w:rsid w:val="20971013"/>
    <w:rsid w:val="209E23A2"/>
    <w:rsid w:val="20A21E92"/>
    <w:rsid w:val="20B56069"/>
    <w:rsid w:val="20C229C0"/>
    <w:rsid w:val="20D02EA3"/>
    <w:rsid w:val="20F128FE"/>
    <w:rsid w:val="20FA3A7C"/>
    <w:rsid w:val="21026DD4"/>
    <w:rsid w:val="21044B96"/>
    <w:rsid w:val="210A7A37"/>
    <w:rsid w:val="212F2EA4"/>
    <w:rsid w:val="213A656E"/>
    <w:rsid w:val="21453F71"/>
    <w:rsid w:val="21537630"/>
    <w:rsid w:val="21577120"/>
    <w:rsid w:val="215D04AF"/>
    <w:rsid w:val="215E5A29"/>
    <w:rsid w:val="216058A9"/>
    <w:rsid w:val="21730031"/>
    <w:rsid w:val="21751354"/>
    <w:rsid w:val="21753C46"/>
    <w:rsid w:val="217D24E5"/>
    <w:rsid w:val="21837F15"/>
    <w:rsid w:val="218872DA"/>
    <w:rsid w:val="218A33B2"/>
    <w:rsid w:val="218B0B78"/>
    <w:rsid w:val="219739C1"/>
    <w:rsid w:val="21DA565B"/>
    <w:rsid w:val="21F26E49"/>
    <w:rsid w:val="21F52495"/>
    <w:rsid w:val="21F7445F"/>
    <w:rsid w:val="21F901D7"/>
    <w:rsid w:val="21F93D33"/>
    <w:rsid w:val="22031056"/>
    <w:rsid w:val="22097CEF"/>
    <w:rsid w:val="220B7F0B"/>
    <w:rsid w:val="220D5A31"/>
    <w:rsid w:val="223E5BEA"/>
    <w:rsid w:val="22486A69"/>
    <w:rsid w:val="224A458F"/>
    <w:rsid w:val="22511DC1"/>
    <w:rsid w:val="225907AB"/>
    <w:rsid w:val="226F2247"/>
    <w:rsid w:val="228026A7"/>
    <w:rsid w:val="229C7850"/>
    <w:rsid w:val="22A04AF7"/>
    <w:rsid w:val="22B12860"/>
    <w:rsid w:val="22BE6D2B"/>
    <w:rsid w:val="22CA1190"/>
    <w:rsid w:val="22D8603F"/>
    <w:rsid w:val="22D867C4"/>
    <w:rsid w:val="22EA7B20"/>
    <w:rsid w:val="22F83FEB"/>
    <w:rsid w:val="2309375D"/>
    <w:rsid w:val="23144B9D"/>
    <w:rsid w:val="231A09C1"/>
    <w:rsid w:val="23287307"/>
    <w:rsid w:val="2329578A"/>
    <w:rsid w:val="233D5EA2"/>
    <w:rsid w:val="23447230"/>
    <w:rsid w:val="234B4A63"/>
    <w:rsid w:val="234C4337"/>
    <w:rsid w:val="23563407"/>
    <w:rsid w:val="23627FFE"/>
    <w:rsid w:val="23696C97"/>
    <w:rsid w:val="237C4C1C"/>
    <w:rsid w:val="237F295E"/>
    <w:rsid w:val="237F64BA"/>
    <w:rsid w:val="23863217"/>
    <w:rsid w:val="238C0BD7"/>
    <w:rsid w:val="23952182"/>
    <w:rsid w:val="23AD5CF5"/>
    <w:rsid w:val="23B56380"/>
    <w:rsid w:val="23CB16FF"/>
    <w:rsid w:val="23D42CAA"/>
    <w:rsid w:val="23D805D1"/>
    <w:rsid w:val="23D9206E"/>
    <w:rsid w:val="23EF5C64"/>
    <w:rsid w:val="23FF584D"/>
    <w:rsid w:val="240864B0"/>
    <w:rsid w:val="24156E1F"/>
    <w:rsid w:val="24174945"/>
    <w:rsid w:val="241A4435"/>
    <w:rsid w:val="241A5988"/>
    <w:rsid w:val="24253C3D"/>
    <w:rsid w:val="24343749"/>
    <w:rsid w:val="244558F0"/>
    <w:rsid w:val="24461B15"/>
    <w:rsid w:val="24493A57"/>
    <w:rsid w:val="245847A7"/>
    <w:rsid w:val="245931AF"/>
    <w:rsid w:val="245B5A4F"/>
    <w:rsid w:val="246D6C5B"/>
    <w:rsid w:val="24741D97"/>
    <w:rsid w:val="24743B45"/>
    <w:rsid w:val="248310F3"/>
    <w:rsid w:val="24925CBD"/>
    <w:rsid w:val="249D6EA0"/>
    <w:rsid w:val="24AC2C0B"/>
    <w:rsid w:val="24BB5C18"/>
    <w:rsid w:val="24C90335"/>
    <w:rsid w:val="24CA32FF"/>
    <w:rsid w:val="24DB5972"/>
    <w:rsid w:val="24FE5B05"/>
    <w:rsid w:val="24FE78B3"/>
    <w:rsid w:val="250F01D4"/>
    <w:rsid w:val="251470D6"/>
    <w:rsid w:val="25377C36"/>
    <w:rsid w:val="253D662D"/>
    <w:rsid w:val="25407ECB"/>
    <w:rsid w:val="254A2F89"/>
    <w:rsid w:val="25513E86"/>
    <w:rsid w:val="25537BFE"/>
    <w:rsid w:val="256167C4"/>
    <w:rsid w:val="25826736"/>
    <w:rsid w:val="258E0C37"/>
    <w:rsid w:val="259721E1"/>
    <w:rsid w:val="25A936A8"/>
    <w:rsid w:val="25B368EF"/>
    <w:rsid w:val="25D56865"/>
    <w:rsid w:val="25D7082F"/>
    <w:rsid w:val="25DB257A"/>
    <w:rsid w:val="25F56F08"/>
    <w:rsid w:val="26192BF6"/>
    <w:rsid w:val="261A696E"/>
    <w:rsid w:val="262D48F3"/>
    <w:rsid w:val="2630579F"/>
    <w:rsid w:val="263A053B"/>
    <w:rsid w:val="265005E2"/>
    <w:rsid w:val="265956E8"/>
    <w:rsid w:val="266D2F42"/>
    <w:rsid w:val="267442D0"/>
    <w:rsid w:val="267A6DB8"/>
    <w:rsid w:val="267C4F33"/>
    <w:rsid w:val="267F67D1"/>
    <w:rsid w:val="2687575B"/>
    <w:rsid w:val="268D5392"/>
    <w:rsid w:val="2694227D"/>
    <w:rsid w:val="269F0C21"/>
    <w:rsid w:val="26A53E62"/>
    <w:rsid w:val="26A76454"/>
    <w:rsid w:val="26B97F35"/>
    <w:rsid w:val="26C50688"/>
    <w:rsid w:val="26DB7EAB"/>
    <w:rsid w:val="26E31456"/>
    <w:rsid w:val="26E74AA2"/>
    <w:rsid w:val="26F87A56"/>
    <w:rsid w:val="26F947D6"/>
    <w:rsid w:val="26FB054E"/>
    <w:rsid w:val="27001EB2"/>
    <w:rsid w:val="270F5DA7"/>
    <w:rsid w:val="271F29F3"/>
    <w:rsid w:val="2749750B"/>
    <w:rsid w:val="2751016E"/>
    <w:rsid w:val="275814FC"/>
    <w:rsid w:val="27651E6B"/>
    <w:rsid w:val="27653C19"/>
    <w:rsid w:val="277A3B68"/>
    <w:rsid w:val="279A7D67"/>
    <w:rsid w:val="279F39A4"/>
    <w:rsid w:val="27A21806"/>
    <w:rsid w:val="27A6495D"/>
    <w:rsid w:val="27A6670B"/>
    <w:rsid w:val="27BF6C56"/>
    <w:rsid w:val="27CC5A46"/>
    <w:rsid w:val="27DD7C53"/>
    <w:rsid w:val="27E965F8"/>
    <w:rsid w:val="27F60D15"/>
    <w:rsid w:val="28017DE6"/>
    <w:rsid w:val="28133675"/>
    <w:rsid w:val="28164F13"/>
    <w:rsid w:val="28176CC3"/>
    <w:rsid w:val="281E2746"/>
    <w:rsid w:val="281F201A"/>
    <w:rsid w:val="282E6701"/>
    <w:rsid w:val="28383426"/>
    <w:rsid w:val="28485A15"/>
    <w:rsid w:val="2859377E"/>
    <w:rsid w:val="285F2985"/>
    <w:rsid w:val="286F2FA1"/>
    <w:rsid w:val="28812CD5"/>
    <w:rsid w:val="288527C5"/>
    <w:rsid w:val="28960379"/>
    <w:rsid w:val="28991DCC"/>
    <w:rsid w:val="28996C52"/>
    <w:rsid w:val="289A2082"/>
    <w:rsid w:val="289A4CFE"/>
    <w:rsid w:val="28B05368"/>
    <w:rsid w:val="28B44E58"/>
    <w:rsid w:val="28CC03F4"/>
    <w:rsid w:val="28D64DCE"/>
    <w:rsid w:val="28D728F5"/>
    <w:rsid w:val="28D915B0"/>
    <w:rsid w:val="28DC615D"/>
    <w:rsid w:val="28DE1ED5"/>
    <w:rsid w:val="28E03E9F"/>
    <w:rsid w:val="28ED036A"/>
    <w:rsid w:val="28ED3EC6"/>
    <w:rsid w:val="28F25980"/>
    <w:rsid w:val="28F90ABD"/>
    <w:rsid w:val="28FD67FF"/>
    <w:rsid w:val="28FE4325"/>
    <w:rsid w:val="290336EA"/>
    <w:rsid w:val="29122110"/>
    <w:rsid w:val="291E0523"/>
    <w:rsid w:val="293D3927"/>
    <w:rsid w:val="29424212"/>
    <w:rsid w:val="29542197"/>
    <w:rsid w:val="295D5E79"/>
    <w:rsid w:val="2969542F"/>
    <w:rsid w:val="296E7684"/>
    <w:rsid w:val="29785E86"/>
    <w:rsid w:val="298567F4"/>
    <w:rsid w:val="29890093"/>
    <w:rsid w:val="299A404E"/>
    <w:rsid w:val="29A44ECD"/>
    <w:rsid w:val="29B6075C"/>
    <w:rsid w:val="29C4731D"/>
    <w:rsid w:val="29C76E0D"/>
    <w:rsid w:val="29C966E1"/>
    <w:rsid w:val="29CE1F49"/>
    <w:rsid w:val="29D5120E"/>
    <w:rsid w:val="29E17ECF"/>
    <w:rsid w:val="29E259F5"/>
    <w:rsid w:val="29E90B31"/>
    <w:rsid w:val="29EE6148"/>
    <w:rsid w:val="29F34F2B"/>
    <w:rsid w:val="29FD638B"/>
    <w:rsid w:val="2A0C4820"/>
    <w:rsid w:val="2A0C65CE"/>
    <w:rsid w:val="2A1831C5"/>
    <w:rsid w:val="2A1A1572"/>
    <w:rsid w:val="2A1F09F7"/>
    <w:rsid w:val="2A2102CB"/>
    <w:rsid w:val="2A241B69"/>
    <w:rsid w:val="2A263B34"/>
    <w:rsid w:val="2A4D10C0"/>
    <w:rsid w:val="2A4E308A"/>
    <w:rsid w:val="2A581813"/>
    <w:rsid w:val="2A5C1303"/>
    <w:rsid w:val="2A7E571E"/>
    <w:rsid w:val="2A88034A"/>
    <w:rsid w:val="2A900883"/>
    <w:rsid w:val="2AAD13D8"/>
    <w:rsid w:val="2AB63109"/>
    <w:rsid w:val="2ABB0720"/>
    <w:rsid w:val="2ABC358D"/>
    <w:rsid w:val="2AC762EF"/>
    <w:rsid w:val="2AE57DE8"/>
    <w:rsid w:val="2AEC657A"/>
    <w:rsid w:val="2AEF7D22"/>
    <w:rsid w:val="2AF552B4"/>
    <w:rsid w:val="2AFA0B1C"/>
    <w:rsid w:val="2AFA2FBD"/>
    <w:rsid w:val="2B035C23"/>
    <w:rsid w:val="2B073965"/>
    <w:rsid w:val="2B0A5203"/>
    <w:rsid w:val="2B125E66"/>
    <w:rsid w:val="2B1D49AB"/>
    <w:rsid w:val="2B2C517A"/>
    <w:rsid w:val="2B395AE8"/>
    <w:rsid w:val="2B45448D"/>
    <w:rsid w:val="2B4D6E9E"/>
    <w:rsid w:val="2B5C6077"/>
    <w:rsid w:val="2B604E23"/>
    <w:rsid w:val="2B774F0D"/>
    <w:rsid w:val="2B797C93"/>
    <w:rsid w:val="2B851EA2"/>
    <w:rsid w:val="2B8C79C6"/>
    <w:rsid w:val="2BA32F62"/>
    <w:rsid w:val="2BA74800"/>
    <w:rsid w:val="2BAA2733"/>
    <w:rsid w:val="2BB21A69"/>
    <w:rsid w:val="2BB94533"/>
    <w:rsid w:val="2BBD4024"/>
    <w:rsid w:val="2BC37160"/>
    <w:rsid w:val="2BE208A6"/>
    <w:rsid w:val="2BE617CC"/>
    <w:rsid w:val="2BEE0681"/>
    <w:rsid w:val="2BFE2949"/>
    <w:rsid w:val="2C02412C"/>
    <w:rsid w:val="2C047EA4"/>
    <w:rsid w:val="2C0559CB"/>
    <w:rsid w:val="2C145C9C"/>
    <w:rsid w:val="2C1A1476"/>
    <w:rsid w:val="2C1F083A"/>
    <w:rsid w:val="2C3342E6"/>
    <w:rsid w:val="2C365B84"/>
    <w:rsid w:val="2C3B3798"/>
    <w:rsid w:val="2C46226B"/>
    <w:rsid w:val="2C4C35F9"/>
    <w:rsid w:val="2C532BDA"/>
    <w:rsid w:val="2C5B2358"/>
    <w:rsid w:val="2C5D1363"/>
    <w:rsid w:val="2C75006C"/>
    <w:rsid w:val="2C7E7C57"/>
    <w:rsid w:val="2C7F39CF"/>
    <w:rsid w:val="2C866B0B"/>
    <w:rsid w:val="2C8E776E"/>
    <w:rsid w:val="2C923702"/>
    <w:rsid w:val="2C931228"/>
    <w:rsid w:val="2CA945A8"/>
    <w:rsid w:val="2CB03B88"/>
    <w:rsid w:val="2CB76CC5"/>
    <w:rsid w:val="2CCF04B2"/>
    <w:rsid w:val="2CD755B9"/>
    <w:rsid w:val="2CD77367"/>
    <w:rsid w:val="2CDB64D3"/>
    <w:rsid w:val="2CDE6947"/>
    <w:rsid w:val="2CE101E6"/>
    <w:rsid w:val="2CED6B8B"/>
    <w:rsid w:val="2CF241A1"/>
    <w:rsid w:val="2D031F0A"/>
    <w:rsid w:val="2D053ED4"/>
    <w:rsid w:val="2D0B0DBF"/>
    <w:rsid w:val="2D1B54A6"/>
    <w:rsid w:val="2D3B5CE8"/>
    <w:rsid w:val="2D485B6F"/>
    <w:rsid w:val="2D4B38B1"/>
    <w:rsid w:val="2D6706EB"/>
    <w:rsid w:val="2D6D7CCB"/>
    <w:rsid w:val="2D6F0186"/>
    <w:rsid w:val="2D7050C6"/>
    <w:rsid w:val="2D720E3E"/>
    <w:rsid w:val="2D7828F8"/>
    <w:rsid w:val="2D845CE8"/>
    <w:rsid w:val="2D8748E9"/>
    <w:rsid w:val="2D92328E"/>
    <w:rsid w:val="2D993B83"/>
    <w:rsid w:val="2DA059AB"/>
    <w:rsid w:val="2DA134D1"/>
    <w:rsid w:val="2DA52FC1"/>
    <w:rsid w:val="2DA76D39"/>
    <w:rsid w:val="2DB8464D"/>
    <w:rsid w:val="2DBB27E5"/>
    <w:rsid w:val="2DBB2CEA"/>
    <w:rsid w:val="2DBD0123"/>
    <w:rsid w:val="2DC23B73"/>
    <w:rsid w:val="2DC8019C"/>
    <w:rsid w:val="2DE0049D"/>
    <w:rsid w:val="2DE51610"/>
    <w:rsid w:val="2DE85674"/>
    <w:rsid w:val="2DEA4E78"/>
    <w:rsid w:val="2DFB0A23"/>
    <w:rsid w:val="2E103F6A"/>
    <w:rsid w:val="2E271C28"/>
    <w:rsid w:val="2E293BF2"/>
    <w:rsid w:val="2E3133BC"/>
    <w:rsid w:val="2E41718E"/>
    <w:rsid w:val="2E530526"/>
    <w:rsid w:val="2E5B7B24"/>
    <w:rsid w:val="2E5D1AEE"/>
    <w:rsid w:val="2E60513A"/>
    <w:rsid w:val="2E624259"/>
    <w:rsid w:val="2E642E7C"/>
    <w:rsid w:val="2E6B7F35"/>
    <w:rsid w:val="2E6D4695"/>
    <w:rsid w:val="2E7110F5"/>
    <w:rsid w:val="2E750BE6"/>
    <w:rsid w:val="2E7D5CEC"/>
    <w:rsid w:val="2E861045"/>
    <w:rsid w:val="2E8928E3"/>
    <w:rsid w:val="2E976DAE"/>
    <w:rsid w:val="2E980D78"/>
    <w:rsid w:val="2E9B4249"/>
    <w:rsid w:val="2EA404BD"/>
    <w:rsid w:val="2EA414CB"/>
    <w:rsid w:val="2EAB4F04"/>
    <w:rsid w:val="2EBA484A"/>
    <w:rsid w:val="2ECE6548"/>
    <w:rsid w:val="2EE43FBD"/>
    <w:rsid w:val="2EF31F55"/>
    <w:rsid w:val="2EF51D26"/>
    <w:rsid w:val="2EFC4E63"/>
    <w:rsid w:val="2EFE0BDB"/>
    <w:rsid w:val="2F096CB6"/>
    <w:rsid w:val="2F0B154A"/>
    <w:rsid w:val="2F0C4CE3"/>
    <w:rsid w:val="2F0E68EE"/>
    <w:rsid w:val="2F104DB2"/>
    <w:rsid w:val="2F1403FE"/>
    <w:rsid w:val="2F302D5E"/>
    <w:rsid w:val="2F3239ED"/>
    <w:rsid w:val="2F326AD7"/>
    <w:rsid w:val="2F3E69A5"/>
    <w:rsid w:val="2F527179"/>
    <w:rsid w:val="2F546A4D"/>
    <w:rsid w:val="2F5702EB"/>
    <w:rsid w:val="2F611098"/>
    <w:rsid w:val="2F6F1AD9"/>
    <w:rsid w:val="2F7414CA"/>
    <w:rsid w:val="2F8C5ED4"/>
    <w:rsid w:val="2F8D070C"/>
    <w:rsid w:val="2F93405A"/>
    <w:rsid w:val="2F967065"/>
    <w:rsid w:val="2F997048"/>
    <w:rsid w:val="2FA21EAE"/>
    <w:rsid w:val="2FA71273"/>
    <w:rsid w:val="2FAD2601"/>
    <w:rsid w:val="2FB4573E"/>
    <w:rsid w:val="2FB63264"/>
    <w:rsid w:val="2FBB4D1E"/>
    <w:rsid w:val="2FD302BA"/>
    <w:rsid w:val="2FD92D9A"/>
    <w:rsid w:val="2FDC6A42"/>
    <w:rsid w:val="2FE14059"/>
    <w:rsid w:val="2FE9188B"/>
    <w:rsid w:val="2FEE6EA1"/>
    <w:rsid w:val="2FEF2C1A"/>
    <w:rsid w:val="2FF126BD"/>
    <w:rsid w:val="2FFB58E6"/>
    <w:rsid w:val="300541EB"/>
    <w:rsid w:val="300761B5"/>
    <w:rsid w:val="300B2B48"/>
    <w:rsid w:val="30122F2A"/>
    <w:rsid w:val="30185CCC"/>
    <w:rsid w:val="30234671"/>
    <w:rsid w:val="3033633B"/>
    <w:rsid w:val="30354441"/>
    <w:rsid w:val="303664FB"/>
    <w:rsid w:val="3038011D"/>
    <w:rsid w:val="303D5E45"/>
    <w:rsid w:val="30466CDD"/>
    <w:rsid w:val="304F7365"/>
    <w:rsid w:val="30542A7D"/>
    <w:rsid w:val="305B3E0B"/>
    <w:rsid w:val="305D5DD5"/>
    <w:rsid w:val="306B0657"/>
    <w:rsid w:val="306B6744"/>
    <w:rsid w:val="306C426A"/>
    <w:rsid w:val="309317F7"/>
    <w:rsid w:val="30963095"/>
    <w:rsid w:val="309B06AC"/>
    <w:rsid w:val="30C61BCC"/>
    <w:rsid w:val="30C97E6D"/>
    <w:rsid w:val="30CD2F5B"/>
    <w:rsid w:val="30D047F9"/>
    <w:rsid w:val="30DF67EA"/>
    <w:rsid w:val="30FA1876"/>
    <w:rsid w:val="30FE1366"/>
    <w:rsid w:val="31175F84"/>
    <w:rsid w:val="31244B45"/>
    <w:rsid w:val="3140750D"/>
    <w:rsid w:val="31462D0D"/>
    <w:rsid w:val="31480833"/>
    <w:rsid w:val="3148438F"/>
    <w:rsid w:val="31540366"/>
    <w:rsid w:val="315E0057"/>
    <w:rsid w:val="315F1C2D"/>
    <w:rsid w:val="31605B7D"/>
    <w:rsid w:val="31644F41"/>
    <w:rsid w:val="3166515D"/>
    <w:rsid w:val="31723B02"/>
    <w:rsid w:val="317909ED"/>
    <w:rsid w:val="317F3B29"/>
    <w:rsid w:val="31833619"/>
    <w:rsid w:val="3186310A"/>
    <w:rsid w:val="31A55C86"/>
    <w:rsid w:val="31A57A34"/>
    <w:rsid w:val="31AA504A"/>
    <w:rsid w:val="31BB7257"/>
    <w:rsid w:val="31DB16A7"/>
    <w:rsid w:val="31DE67E6"/>
    <w:rsid w:val="31E3230A"/>
    <w:rsid w:val="31ED4F37"/>
    <w:rsid w:val="31F327FA"/>
    <w:rsid w:val="31F664E1"/>
    <w:rsid w:val="31FB7654"/>
    <w:rsid w:val="320329AC"/>
    <w:rsid w:val="32082A52"/>
    <w:rsid w:val="320F30FF"/>
    <w:rsid w:val="321475DF"/>
    <w:rsid w:val="321D3A6E"/>
    <w:rsid w:val="3227669B"/>
    <w:rsid w:val="322F72FD"/>
    <w:rsid w:val="32364B30"/>
    <w:rsid w:val="323668DE"/>
    <w:rsid w:val="323B0D1B"/>
    <w:rsid w:val="3240775C"/>
    <w:rsid w:val="324A4137"/>
    <w:rsid w:val="325530D8"/>
    <w:rsid w:val="32607DFF"/>
    <w:rsid w:val="3267118D"/>
    <w:rsid w:val="32677583"/>
    <w:rsid w:val="32690A61"/>
    <w:rsid w:val="326A47D9"/>
    <w:rsid w:val="32794A1C"/>
    <w:rsid w:val="3281224F"/>
    <w:rsid w:val="32846C50"/>
    <w:rsid w:val="32851613"/>
    <w:rsid w:val="328C4CFA"/>
    <w:rsid w:val="32966A5B"/>
    <w:rsid w:val="32B1065A"/>
    <w:rsid w:val="32B51EF8"/>
    <w:rsid w:val="32B53CA7"/>
    <w:rsid w:val="32BF68D3"/>
    <w:rsid w:val="32D3237F"/>
    <w:rsid w:val="32E26A66"/>
    <w:rsid w:val="32EE540A"/>
    <w:rsid w:val="32F12805"/>
    <w:rsid w:val="32FA5B5D"/>
    <w:rsid w:val="32FB3683"/>
    <w:rsid w:val="331068B8"/>
    <w:rsid w:val="33114C55"/>
    <w:rsid w:val="331704BD"/>
    <w:rsid w:val="331F7372"/>
    <w:rsid w:val="3328086B"/>
    <w:rsid w:val="33354DE7"/>
    <w:rsid w:val="333C68EE"/>
    <w:rsid w:val="33590AD6"/>
    <w:rsid w:val="336254B1"/>
    <w:rsid w:val="336779A6"/>
    <w:rsid w:val="33686F6B"/>
    <w:rsid w:val="337376BE"/>
    <w:rsid w:val="33743B62"/>
    <w:rsid w:val="337622CA"/>
    <w:rsid w:val="33770F5C"/>
    <w:rsid w:val="33833285"/>
    <w:rsid w:val="339E473B"/>
    <w:rsid w:val="33A847DF"/>
    <w:rsid w:val="33B51A84"/>
    <w:rsid w:val="33C0280E"/>
    <w:rsid w:val="33C85C5B"/>
    <w:rsid w:val="33D95773"/>
    <w:rsid w:val="33DD05D2"/>
    <w:rsid w:val="33E6642E"/>
    <w:rsid w:val="34055A10"/>
    <w:rsid w:val="340622E0"/>
    <w:rsid w:val="340824FC"/>
    <w:rsid w:val="340F52E3"/>
    <w:rsid w:val="34125129"/>
    <w:rsid w:val="341E40FE"/>
    <w:rsid w:val="342310E4"/>
    <w:rsid w:val="343155AF"/>
    <w:rsid w:val="343C3F54"/>
    <w:rsid w:val="34452E08"/>
    <w:rsid w:val="3461567F"/>
    <w:rsid w:val="346C65E7"/>
    <w:rsid w:val="347436ED"/>
    <w:rsid w:val="34761214"/>
    <w:rsid w:val="34853B4C"/>
    <w:rsid w:val="34860907"/>
    <w:rsid w:val="348953EB"/>
    <w:rsid w:val="34955FD2"/>
    <w:rsid w:val="34A43FD3"/>
    <w:rsid w:val="34A61710"/>
    <w:rsid w:val="34AE4E51"/>
    <w:rsid w:val="34B32468"/>
    <w:rsid w:val="34B561E0"/>
    <w:rsid w:val="34B955A4"/>
    <w:rsid w:val="34C24459"/>
    <w:rsid w:val="34C5219B"/>
    <w:rsid w:val="34DF500B"/>
    <w:rsid w:val="34E16FD5"/>
    <w:rsid w:val="34E70363"/>
    <w:rsid w:val="34E72111"/>
    <w:rsid w:val="34F34F5A"/>
    <w:rsid w:val="35076310"/>
    <w:rsid w:val="350F7B44"/>
    <w:rsid w:val="3510056D"/>
    <w:rsid w:val="35103416"/>
    <w:rsid w:val="351078BA"/>
    <w:rsid w:val="35150A2C"/>
    <w:rsid w:val="351A6043"/>
    <w:rsid w:val="351C1918"/>
    <w:rsid w:val="353A4937"/>
    <w:rsid w:val="35496928"/>
    <w:rsid w:val="354E7E56"/>
    <w:rsid w:val="355A28E3"/>
    <w:rsid w:val="35610D9B"/>
    <w:rsid w:val="356419B4"/>
    <w:rsid w:val="35702107"/>
    <w:rsid w:val="35741F1A"/>
    <w:rsid w:val="3579545F"/>
    <w:rsid w:val="357E29F5"/>
    <w:rsid w:val="358053F3"/>
    <w:rsid w:val="35814314"/>
    <w:rsid w:val="35831E3A"/>
    <w:rsid w:val="358E07DF"/>
    <w:rsid w:val="35973B37"/>
    <w:rsid w:val="35C506A4"/>
    <w:rsid w:val="35CF3A68"/>
    <w:rsid w:val="35D00DF7"/>
    <w:rsid w:val="35D2691D"/>
    <w:rsid w:val="35DE50FA"/>
    <w:rsid w:val="35F44AE6"/>
    <w:rsid w:val="35F66AB0"/>
    <w:rsid w:val="360016DD"/>
    <w:rsid w:val="36054F45"/>
    <w:rsid w:val="36064819"/>
    <w:rsid w:val="36121410"/>
    <w:rsid w:val="361F3CC7"/>
    <w:rsid w:val="362178A5"/>
    <w:rsid w:val="36405F7D"/>
    <w:rsid w:val="36527A5E"/>
    <w:rsid w:val="3667175C"/>
    <w:rsid w:val="36686EC3"/>
    <w:rsid w:val="36704E3B"/>
    <w:rsid w:val="367125DA"/>
    <w:rsid w:val="367E0853"/>
    <w:rsid w:val="368045CB"/>
    <w:rsid w:val="36826596"/>
    <w:rsid w:val="368A71F8"/>
    <w:rsid w:val="368E4F3A"/>
    <w:rsid w:val="36940077"/>
    <w:rsid w:val="36AE22E0"/>
    <w:rsid w:val="36C05630"/>
    <w:rsid w:val="36C15C39"/>
    <w:rsid w:val="36CF557D"/>
    <w:rsid w:val="36D93CDC"/>
    <w:rsid w:val="36E241BF"/>
    <w:rsid w:val="36E52680"/>
    <w:rsid w:val="36E7464B"/>
    <w:rsid w:val="36EC1C61"/>
    <w:rsid w:val="36EE7787"/>
    <w:rsid w:val="36F11B7F"/>
    <w:rsid w:val="36F17277"/>
    <w:rsid w:val="36F54538"/>
    <w:rsid w:val="36F76B78"/>
    <w:rsid w:val="36FC6348"/>
    <w:rsid w:val="370451FC"/>
    <w:rsid w:val="370A20E7"/>
    <w:rsid w:val="37144D14"/>
    <w:rsid w:val="37160A8C"/>
    <w:rsid w:val="37215DAE"/>
    <w:rsid w:val="37353608"/>
    <w:rsid w:val="373553B6"/>
    <w:rsid w:val="37437B17"/>
    <w:rsid w:val="374455F9"/>
    <w:rsid w:val="37557806"/>
    <w:rsid w:val="37824373"/>
    <w:rsid w:val="378375B9"/>
    <w:rsid w:val="379A346B"/>
    <w:rsid w:val="37A4078E"/>
    <w:rsid w:val="37A8202C"/>
    <w:rsid w:val="37A95DA4"/>
    <w:rsid w:val="37AB1B1C"/>
    <w:rsid w:val="37B81B43"/>
    <w:rsid w:val="37B94C3E"/>
    <w:rsid w:val="37C2071B"/>
    <w:rsid w:val="37C9182B"/>
    <w:rsid w:val="37D42E21"/>
    <w:rsid w:val="37D746BF"/>
    <w:rsid w:val="37D90437"/>
    <w:rsid w:val="37EA2669"/>
    <w:rsid w:val="37F54B45"/>
    <w:rsid w:val="38033706"/>
    <w:rsid w:val="380D6333"/>
    <w:rsid w:val="380F3E59"/>
    <w:rsid w:val="381D77E4"/>
    <w:rsid w:val="383438BF"/>
    <w:rsid w:val="38417D8A"/>
    <w:rsid w:val="38442990"/>
    <w:rsid w:val="38480034"/>
    <w:rsid w:val="384F06F9"/>
    <w:rsid w:val="3862042D"/>
    <w:rsid w:val="38656B20"/>
    <w:rsid w:val="386D6DD1"/>
    <w:rsid w:val="387463B2"/>
    <w:rsid w:val="38765C86"/>
    <w:rsid w:val="38795776"/>
    <w:rsid w:val="388C0C90"/>
    <w:rsid w:val="38991974"/>
    <w:rsid w:val="38997BC6"/>
    <w:rsid w:val="389C3CE2"/>
    <w:rsid w:val="38A02D03"/>
    <w:rsid w:val="38A30A45"/>
    <w:rsid w:val="38A50319"/>
    <w:rsid w:val="38C904AC"/>
    <w:rsid w:val="38CE5AC2"/>
    <w:rsid w:val="38D26C34"/>
    <w:rsid w:val="38D541F5"/>
    <w:rsid w:val="38D62BC9"/>
    <w:rsid w:val="38D6302F"/>
    <w:rsid w:val="38DF7982"/>
    <w:rsid w:val="38E47094"/>
    <w:rsid w:val="38E76B84"/>
    <w:rsid w:val="38FB262F"/>
    <w:rsid w:val="38FD5265"/>
    <w:rsid w:val="38FE5C7B"/>
    <w:rsid w:val="391C32AC"/>
    <w:rsid w:val="391F00CC"/>
    <w:rsid w:val="39243934"/>
    <w:rsid w:val="392A081F"/>
    <w:rsid w:val="392C0A3B"/>
    <w:rsid w:val="394144E6"/>
    <w:rsid w:val="39520488"/>
    <w:rsid w:val="395F2BBE"/>
    <w:rsid w:val="396401D4"/>
    <w:rsid w:val="397A17A6"/>
    <w:rsid w:val="397C551E"/>
    <w:rsid w:val="3991089E"/>
    <w:rsid w:val="39923AF6"/>
    <w:rsid w:val="39AC56D7"/>
    <w:rsid w:val="39AE31FE"/>
    <w:rsid w:val="39B81D58"/>
    <w:rsid w:val="39BF18AF"/>
    <w:rsid w:val="39CB0253"/>
    <w:rsid w:val="39CB2002"/>
    <w:rsid w:val="39DB5260"/>
    <w:rsid w:val="39E135D3"/>
    <w:rsid w:val="39E757EF"/>
    <w:rsid w:val="39F71049"/>
    <w:rsid w:val="39F74BA5"/>
    <w:rsid w:val="39F8091D"/>
    <w:rsid w:val="39FE23D7"/>
    <w:rsid w:val="3A0379ED"/>
    <w:rsid w:val="3A145757"/>
    <w:rsid w:val="3A1B1B52"/>
    <w:rsid w:val="3A2406E3"/>
    <w:rsid w:val="3A296D28"/>
    <w:rsid w:val="3A3C2EFF"/>
    <w:rsid w:val="3A40479E"/>
    <w:rsid w:val="3A6843D7"/>
    <w:rsid w:val="3A6D130B"/>
    <w:rsid w:val="3A78307D"/>
    <w:rsid w:val="3A7A00B5"/>
    <w:rsid w:val="3A8A3C6B"/>
    <w:rsid w:val="3A8F0F7F"/>
    <w:rsid w:val="3AC70909"/>
    <w:rsid w:val="3ACC4283"/>
    <w:rsid w:val="3AD038A8"/>
    <w:rsid w:val="3AD969A0"/>
    <w:rsid w:val="3ADB2718"/>
    <w:rsid w:val="3ADB6274"/>
    <w:rsid w:val="3AE27603"/>
    <w:rsid w:val="3B005174"/>
    <w:rsid w:val="3B084B8F"/>
    <w:rsid w:val="3B1D2F01"/>
    <w:rsid w:val="3B225C51"/>
    <w:rsid w:val="3B250F82"/>
    <w:rsid w:val="3B2C3DF2"/>
    <w:rsid w:val="3B2E2848"/>
    <w:rsid w:val="3B304812"/>
    <w:rsid w:val="3B40257B"/>
    <w:rsid w:val="3B4402BD"/>
    <w:rsid w:val="3B561D9F"/>
    <w:rsid w:val="3B5B5607"/>
    <w:rsid w:val="3B691AD2"/>
    <w:rsid w:val="3B6F4C0F"/>
    <w:rsid w:val="3B787F67"/>
    <w:rsid w:val="3B833F9D"/>
    <w:rsid w:val="3B84690C"/>
    <w:rsid w:val="3B893F22"/>
    <w:rsid w:val="3B8A37F6"/>
    <w:rsid w:val="3B9052B1"/>
    <w:rsid w:val="3B9D404A"/>
    <w:rsid w:val="3BB645EB"/>
    <w:rsid w:val="3BBB7E54"/>
    <w:rsid w:val="3BD01B51"/>
    <w:rsid w:val="3BD2404C"/>
    <w:rsid w:val="3BD700C9"/>
    <w:rsid w:val="3BDD426E"/>
    <w:rsid w:val="3BF27D19"/>
    <w:rsid w:val="3C0812EB"/>
    <w:rsid w:val="3C153A08"/>
    <w:rsid w:val="3C1B6499"/>
    <w:rsid w:val="3C2728B0"/>
    <w:rsid w:val="3C2D0D52"/>
    <w:rsid w:val="3C2E0626"/>
    <w:rsid w:val="3C333E8E"/>
    <w:rsid w:val="3C366730"/>
    <w:rsid w:val="3C395948"/>
    <w:rsid w:val="3C3A6FCB"/>
    <w:rsid w:val="3C3C71E7"/>
    <w:rsid w:val="3C4147FD"/>
    <w:rsid w:val="3C5E0F0B"/>
    <w:rsid w:val="3C6109FB"/>
    <w:rsid w:val="3C6B187A"/>
    <w:rsid w:val="3C6B7ACC"/>
    <w:rsid w:val="3C6D73A0"/>
    <w:rsid w:val="3C700C3E"/>
    <w:rsid w:val="3C707D9D"/>
    <w:rsid w:val="3C7626F9"/>
    <w:rsid w:val="3C78407A"/>
    <w:rsid w:val="3C86517E"/>
    <w:rsid w:val="3C920BB5"/>
    <w:rsid w:val="3C9506A5"/>
    <w:rsid w:val="3C9C5ED7"/>
    <w:rsid w:val="3C9E15A3"/>
    <w:rsid w:val="3CA94B4F"/>
    <w:rsid w:val="3CAD3C40"/>
    <w:rsid w:val="3CB11983"/>
    <w:rsid w:val="3CC03974"/>
    <w:rsid w:val="3CCA66B3"/>
    <w:rsid w:val="3CCB6C9B"/>
    <w:rsid w:val="3CCD7E3F"/>
    <w:rsid w:val="3CE95DC1"/>
    <w:rsid w:val="3CEB6517"/>
    <w:rsid w:val="3CEE7E16"/>
    <w:rsid w:val="3CF2156D"/>
    <w:rsid w:val="3D0221DE"/>
    <w:rsid w:val="3D0C4E0B"/>
    <w:rsid w:val="3D2A703F"/>
    <w:rsid w:val="3D402F2D"/>
    <w:rsid w:val="3D430101"/>
    <w:rsid w:val="3D4A69A7"/>
    <w:rsid w:val="3D523F0D"/>
    <w:rsid w:val="3D54230E"/>
    <w:rsid w:val="3D5567B2"/>
    <w:rsid w:val="3D566086"/>
    <w:rsid w:val="3D581DFE"/>
    <w:rsid w:val="3D597924"/>
    <w:rsid w:val="3D5D7415"/>
    <w:rsid w:val="3D633DB8"/>
    <w:rsid w:val="3D695DB9"/>
    <w:rsid w:val="3D6A37EA"/>
    <w:rsid w:val="3D6B1F10"/>
    <w:rsid w:val="3D70539A"/>
    <w:rsid w:val="3D7604D6"/>
    <w:rsid w:val="3D8175A7"/>
    <w:rsid w:val="3D87238C"/>
    <w:rsid w:val="3D874491"/>
    <w:rsid w:val="3D8A539D"/>
    <w:rsid w:val="3D8A6DE7"/>
    <w:rsid w:val="3D9646D4"/>
    <w:rsid w:val="3D9B7F3D"/>
    <w:rsid w:val="3DB039E8"/>
    <w:rsid w:val="3DBD6105"/>
    <w:rsid w:val="3DBD7EB3"/>
    <w:rsid w:val="3DCA7E3E"/>
    <w:rsid w:val="3DCE6502"/>
    <w:rsid w:val="3DD516A1"/>
    <w:rsid w:val="3DDD5276"/>
    <w:rsid w:val="3DEF182E"/>
    <w:rsid w:val="3DF53AF1"/>
    <w:rsid w:val="3DFB53F0"/>
    <w:rsid w:val="3E01787D"/>
    <w:rsid w:val="3E0B0C1F"/>
    <w:rsid w:val="3E1F291C"/>
    <w:rsid w:val="3E2B12C1"/>
    <w:rsid w:val="3E2E2B5F"/>
    <w:rsid w:val="3E4F1453"/>
    <w:rsid w:val="3E5000D2"/>
    <w:rsid w:val="3E573E64"/>
    <w:rsid w:val="3E611186"/>
    <w:rsid w:val="3E630A5B"/>
    <w:rsid w:val="3E740EBA"/>
    <w:rsid w:val="3E7A5DA4"/>
    <w:rsid w:val="3E817B84"/>
    <w:rsid w:val="3E854E75"/>
    <w:rsid w:val="3E864749"/>
    <w:rsid w:val="3E976956"/>
    <w:rsid w:val="3E9C3F6D"/>
    <w:rsid w:val="3EAF3CA0"/>
    <w:rsid w:val="3EB94B1E"/>
    <w:rsid w:val="3EBA43F3"/>
    <w:rsid w:val="3EBE2135"/>
    <w:rsid w:val="3EC55271"/>
    <w:rsid w:val="3EC6723B"/>
    <w:rsid w:val="3ECB7C16"/>
    <w:rsid w:val="3EE5713F"/>
    <w:rsid w:val="3EE576C2"/>
    <w:rsid w:val="3EEF6792"/>
    <w:rsid w:val="3EF73899"/>
    <w:rsid w:val="3F1C6E5B"/>
    <w:rsid w:val="3F275F2C"/>
    <w:rsid w:val="3F277CDA"/>
    <w:rsid w:val="3F32042D"/>
    <w:rsid w:val="3F340649"/>
    <w:rsid w:val="3F367F1D"/>
    <w:rsid w:val="3F5F5703"/>
    <w:rsid w:val="3F6C1B91"/>
    <w:rsid w:val="3F717907"/>
    <w:rsid w:val="3F746C97"/>
    <w:rsid w:val="3F830C89"/>
    <w:rsid w:val="3F96404D"/>
    <w:rsid w:val="3F9B2476"/>
    <w:rsid w:val="3FB329C0"/>
    <w:rsid w:val="3FB47094"/>
    <w:rsid w:val="3FB86B84"/>
    <w:rsid w:val="3FD15E98"/>
    <w:rsid w:val="3FD16453"/>
    <w:rsid w:val="3FD6525C"/>
    <w:rsid w:val="3FD70346"/>
    <w:rsid w:val="3FE63ADD"/>
    <w:rsid w:val="3FE77469"/>
    <w:rsid w:val="3FF04570"/>
    <w:rsid w:val="3FF81676"/>
    <w:rsid w:val="3FFC1167"/>
    <w:rsid w:val="400242A3"/>
    <w:rsid w:val="4013200C"/>
    <w:rsid w:val="403A57EB"/>
    <w:rsid w:val="40586E6A"/>
    <w:rsid w:val="405C7E57"/>
    <w:rsid w:val="408847A8"/>
    <w:rsid w:val="40907B01"/>
    <w:rsid w:val="40972C3D"/>
    <w:rsid w:val="409A272E"/>
    <w:rsid w:val="40A1586A"/>
    <w:rsid w:val="40A321F7"/>
    <w:rsid w:val="40A8309D"/>
    <w:rsid w:val="40AA6120"/>
    <w:rsid w:val="40BA62E8"/>
    <w:rsid w:val="40BC26A4"/>
    <w:rsid w:val="40C97A40"/>
    <w:rsid w:val="40CE4185"/>
    <w:rsid w:val="40DF6392"/>
    <w:rsid w:val="40E32E07"/>
    <w:rsid w:val="40ED0AAF"/>
    <w:rsid w:val="40FC5196"/>
    <w:rsid w:val="41061B71"/>
    <w:rsid w:val="410B53A2"/>
    <w:rsid w:val="41166258"/>
    <w:rsid w:val="411C4E7D"/>
    <w:rsid w:val="412070D7"/>
    <w:rsid w:val="41285F8B"/>
    <w:rsid w:val="41405083"/>
    <w:rsid w:val="414B2537"/>
    <w:rsid w:val="414B5FB6"/>
    <w:rsid w:val="415E2F6C"/>
    <w:rsid w:val="41650F8E"/>
    <w:rsid w:val="416C231C"/>
    <w:rsid w:val="41774B33"/>
    <w:rsid w:val="417E7959"/>
    <w:rsid w:val="41807B75"/>
    <w:rsid w:val="41856F3A"/>
    <w:rsid w:val="41872CB2"/>
    <w:rsid w:val="418C651A"/>
    <w:rsid w:val="419B050B"/>
    <w:rsid w:val="41A82C28"/>
    <w:rsid w:val="41AD0D73"/>
    <w:rsid w:val="41DD28D2"/>
    <w:rsid w:val="41DD6D76"/>
    <w:rsid w:val="41E55C2A"/>
    <w:rsid w:val="41E97AB3"/>
    <w:rsid w:val="41EA3241"/>
    <w:rsid w:val="41F1637D"/>
    <w:rsid w:val="41F8770C"/>
    <w:rsid w:val="42091919"/>
    <w:rsid w:val="420C31B7"/>
    <w:rsid w:val="420E5181"/>
    <w:rsid w:val="4211321A"/>
    <w:rsid w:val="421C55F5"/>
    <w:rsid w:val="42277FF1"/>
    <w:rsid w:val="422874F3"/>
    <w:rsid w:val="423B3A9C"/>
    <w:rsid w:val="425A6618"/>
    <w:rsid w:val="425C7CB7"/>
    <w:rsid w:val="42644DA1"/>
    <w:rsid w:val="4266157B"/>
    <w:rsid w:val="42665926"/>
    <w:rsid w:val="427A64AB"/>
    <w:rsid w:val="427F607F"/>
    <w:rsid w:val="42820532"/>
    <w:rsid w:val="42927B60"/>
    <w:rsid w:val="42975177"/>
    <w:rsid w:val="429766C9"/>
    <w:rsid w:val="429D6505"/>
    <w:rsid w:val="42A930FC"/>
    <w:rsid w:val="42AE0712"/>
    <w:rsid w:val="42B350F4"/>
    <w:rsid w:val="42BA2C13"/>
    <w:rsid w:val="42C32829"/>
    <w:rsid w:val="42E61C5A"/>
    <w:rsid w:val="42EF4FB3"/>
    <w:rsid w:val="42F26851"/>
    <w:rsid w:val="431247FD"/>
    <w:rsid w:val="431343E5"/>
    <w:rsid w:val="4315253F"/>
    <w:rsid w:val="431A1904"/>
    <w:rsid w:val="433429C6"/>
    <w:rsid w:val="433724B6"/>
    <w:rsid w:val="433C5D1E"/>
    <w:rsid w:val="435A3C18"/>
    <w:rsid w:val="435B18A1"/>
    <w:rsid w:val="435B61A4"/>
    <w:rsid w:val="435E7A42"/>
    <w:rsid w:val="43741014"/>
    <w:rsid w:val="4383394D"/>
    <w:rsid w:val="43912FC7"/>
    <w:rsid w:val="43996CCD"/>
    <w:rsid w:val="43A22025"/>
    <w:rsid w:val="43A23DD3"/>
    <w:rsid w:val="43A7763B"/>
    <w:rsid w:val="43BB59A1"/>
    <w:rsid w:val="43CA21CD"/>
    <w:rsid w:val="43D11E4C"/>
    <w:rsid w:val="43D146B8"/>
    <w:rsid w:val="43E268C5"/>
    <w:rsid w:val="43F202D8"/>
    <w:rsid w:val="44114AB5"/>
    <w:rsid w:val="44161611"/>
    <w:rsid w:val="442944F4"/>
    <w:rsid w:val="442C2002"/>
    <w:rsid w:val="44337121"/>
    <w:rsid w:val="443469F5"/>
    <w:rsid w:val="443D7B08"/>
    <w:rsid w:val="444E5D09"/>
    <w:rsid w:val="4450382F"/>
    <w:rsid w:val="44511355"/>
    <w:rsid w:val="44562E10"/>
    <w:rsid w:val="446E0159"/>
    <w:rsid w:val="44735770"/>
    <w:rsid w:val="4484172B"/>
    <w:rsid w:val="44886565"/>
    <w:rsid w:val="448B2AB9"/>
    <w:rsid w:val="448B3BE3"/>
    <w:rsid w:val="448C05DF"/>
    <w:rsid w:val="448D4A83"/>
    <w:rsid w:val="44974837"/>
    <w:rsid w:val="44A27E03"/>
    <w:rsid w:val="44B37D5D"/>
    <w:rsid w:val="44CD1324"/>
    <w:rsid w:val="44D426B2"/>
    <w:rsid w:val="44FD2C73"/>
    <w:rsid w:val="450B1E4C"/>
    <w:rsid w:val="450B7626"/>
    <w:rsid w:val="45145EDB"/>
    <w:rsid w:val="451505D5"/>
    <w:rsid w:val="45156827"/>
    <w:rsid w:val="451E56DB"/>
    <w:rsid w:val="45372C41"/>
    <w:rsid w:val="454D7D6F"/>
    <w:rsid w:val="455304B4"/>
    <w:rsid w:val="45554E75"/>
    <w:rsid w:val="45610B02"/>
    <w:rsid w:val="456D21BF"/>
    <w:rsid w:val="45725A27"/>
    <w:rsid w:val="4577303D"/>
    <w:rsid w:val="457A48DC"/>
    <w:rsid w:val="45857508"/>
    <w:rsid w:val="458614D2"/>
    <w:rsid w:val="458F1D3E"/>
    <w:rsid w:val="458F65D9"/>
    <w:rsid w:val="459267E2"/>
    <w:rsid w:val="45992590"/>
    <w:rsid w:val="45A73923"/>
    <w:rsid w:val="45A8769B"/>
    <w:rsid w:val="45AA6F6F"/>
    <w:rsid w:val="45B33326"/>
    <w:rsid w:val="45B3633A"/>
    <w:rsid w:val="45B91986"/>
    <w:rsid w:val="45C83899"/>
    <w:rsid w:val="45CA192E"/>
    <w:rsid w:val="45E561F9"/>
    <w:rsid w:val="45FE550D"/>
    <w:rsid w:val="46057062"/>
    <w:rsid w:val="460743C1"/>
    <w:rsid w:val="4607616F"/>
    <w:rsid w:val="4614088C"/>
    <w:rsid w:val="4622744D"/>
    <w:rsid w:val="46294034"/>
    <w:rsid w:val="46324A2F"/>
    <w:rsid w:val="4642189D"/>
    <w:rsid w:val="46707A5D"/>
    <w:rsid w:val="467557CF"/>
    <w:rsid w:val="467A2FE6"/>
    <w:rsid w:val="46853538"/>
    <w:rsid w:val="46896696"/>
    <w:rsid w:val="468C4E5B"/>
    <w:rsid w:val="469D2F78"/>
    <w:rsid w:val="469F45FA"/>
    <w:rsid w:val="46A26F58"/>
    <w:rsid w:val="46A44C32"/>
    <w:rsid w:val="46A83CD3"/>
    <w:rsid w:val="46AC4F69"/>
    <w:rsid w:val="46B349B9"/>
    <w:rsid w:val="46BD0D06"/>
    <w:rsid w:val="46C027C2"/>
    <w:rsid w:val="46C6602A"/>
    <w:rsid w:val="46D00C57"/>
    <w:rsid w:val="46D324F5"/>
    <w:rsid w:val="46FA3F26"/>
    <w:rsid w:val="46FF778E"/>
    <w:rsid w:val="471D79E2"/>
    <w:rsid w:val="472408CB"/>
    <w:rsid w:val="472D60AA"/>
    <w:rsid w:val="47486A40"/>
    <w:rsid w:val="47515EB8"/>
    <w:rsid w:val="47543636"/>
    <w:rsid w:val="476D46F8"/>
    <w:rsid w:val="476F0470"/>
    <w:rsid w:val="47723ABC"/>
    <w:rsid w:val="47833F1C"/>
    <w:rsid w:val="47841A42"/>
    <w:rsid w:val="478A7058"/>
    <w:rsid w:val="479A5F24"/>
    <w:rsid w:val="479B3672"/>
    <w:rsid w:val="479F062A"/>
    <w:rsid w:val="47A3011A"/>
    <w:rsid w:val="47B2035D"/>
    <w:rsid w:val="47B265AF"/>
    <w:rsid w:val="47B42327"/>
    <w:rsid w:val="47BC11DC"/>
    <w:rsid w:val="47BC742D"/>
    <w:rsid w:val="47BE6D02"/>
    <w:rsid w:val="47CA38F8"/>
    <w:rsid w:val="47CF53B3"/>
    <w:rsid w:val="47D44777"/>
    <w:rsid w:val="47DB3D58"/>
    <w:rsid w:val="47ED3A8B"/>
    <w:rsid w:val="47F00E85"/>
    <w:rsid w:val="47F866B8"/>
    <w:rsid w:val="4819662E"/>
    <w:rsid w:val="48223734"/>
    <w:rsid w:val="482F5E51"/>
    <w:rsid w:val="484C6A03"/>
    <w:rsid w:val="4851401A"/>
    <w:rsid w:val="486D24D6"/>
    <w:rsid w:val="4871646A"/>
    <w:rsid w:val="487A531F"/>
    <w:rsid w:val="48855662"/>
    <w:rsid w:val="488B00E4"/>
    <w:rsid w:val="488B752C"/>
    <w:rsid w:val="489D00BF"/>
    <w:rsid w:val="48A02236"/>
    <w:rsid w:val="48A24875"/>
    <w:rsid w:val="48A71E8C"/>
    <w:rsid w:val="48B16EE8"/>
    <w:rsid w:val="48C22822"/>
    <w:rsid w:val="48C742DC"/>
    <w:rsid w:val="48D80297"/>
    <w:rsid w:val="48DF33D4"/>
    <w:rsid w:val="48E704DA"/>
    <w:rsid w:val="48E825D9"/>
    <w:rsid w:val="48EB621C"/>
    <w:rsid w:val="490B5F77"/>
    <w:rsid w:val="490E3E0B"/>
    <w:rsid w:val="4910419F"/>
    <w:rsid w:val="49107A31"/>
    <w:rsid w:val="49117305"/>
    <w:rsid w:val="49184B37"/>
    <w:rsid w:val="49246A8D"/>
    <w:rsid w:val="49284D7B"/>
    <w:rsid w:val="492E435B"/>
    <w:rsid w:val="4933371F"/>
    <w:rsid w:val="493F555A"/>
    <w:rsid w:val="49414C73"/>
    <w:rsid w:val="49463453"/>
    <w:rsid w:val="495518E8"/>
    <w:rsid w:val="49553696"/>
    <w:rsid w:val="495711BC"/>
    <w:rsid w:val="495B3711"/>
    <w:rsid w:val="495F4514"/>
    <w:rsid w:val="496658A3"/>
    <w:rsid w:val="49804BB7"/>
    <w:rsid w:val="498A77E3"/>
    <w:rsid w:val="49CB1BAA"/>
    <w:rsid w:val="49D547D7"/>
    <w:rsid w:val="49EA2030"/>
    <w:rsid w:val="49EB5DA8"/>
    <w:rsid w:val="49ED1B20"/>
    <w:rsid w:val="49ED7D72"/>
    <w:rsid w:val="49F11610"/>
    <w:rsid w:val="49F7474D"/>
    <w:rsid w:val="4A0155CC"/>
    <w:rsid w:val="4A1470AD"/>
    <w:rsid w:val="4A1B668D"/>
    <w:rsid w:val="4A280DAA"/>
    <w:rsid w:val="4A3239D7"/>
    <w:rsid w:val="4A3E237C"/>
    <w:rsid w:val="4A5E657A"/>
    <w:rsid w:val="4A65425E"/>
    <w:rsid w:val="4A72280E"/>
    <w:rsid w:val="4A82670C"/>
    <w:rsid w:val="4A867746"/>
    <w:rsid w:val="4A946440"/>
    <w:rsid w:val="4A9F72BE"/>
    <w:rsid w:val="4AAD11DC"/>
    <w:rsid w:val="4AAE4B75"/>
    <w:rsid w:val="4AAE7501"/>
    <w:rsid w:val="4AB12199"/>
    <w:rsid w:val="4ABF34BD"/>
    <w:rsid w:val="4AC62A9D"/>
    <w:rsid w:val="4AD8457E"/>
    <w:rsid w:val="4AE20F59"/>
    <w:rsid w:val="4AED7613"/>
    <w:rsid w:val="4AF018C8"/>
    <w:rsid w:val="4AF224C2"/>
    <w:rsid w:val="4AF40C8C"/>
    <w:rsid w:val="4AF60EA8"/>
    <w:rsid w:val="4AFB026D"/>
    <w:rsid w:val="4B081B7C"/>
    <w:rsid w:val="4B166E55"/>
    <w:rsid w:val="4B1A4B97"/>
    <w:rsid w:val="4B257098"/>
    <w:rsid w:val="4B2C48CA"/>
    <w:rsid w:val="4B3317B5"/>
    <w:rsid w:val="4B3C1638"/>
    <w:rsid w:val="4B3D38F2"/>
    <w:rsid w:val="4B413ED2"/>
    <w:rsid w:val="4B436A33"/>
    <w:rsid w:val="4B4614E8"/>
    <w:rsid w:val="4B5A4F93"/>
    <w:rsid w:val="4B5D4A84"/>
    <w:rsid w:val="4B6422B6"/>
    <w:rsid w:val="4B645E12"/>
    <w:rsid w:val="4B667DDC"/>
    <w:rsid w:val="4B8615C9"/>
    <w:rsid w:val="4B8743DD"/>
    <w:rsid w:val="4B897627"/>
    <w:rsid w:val="4B920BD1"/>
    <w:rsid w:val="4B9506C1"/>
    <w:rsid w:val="4B9F6E4A"/>
    <w:rsid w:val="4BA426B2"/>
    <w:rsid w:val="4BCD39B7"/>
    <w:rsid w:val="4BE32ED2"/>
    <w:rsid w:val="4BE3567B"/>
    <w:rsid w:val="4BE551A5"/>
    <w:rsid w:val="4BE96EF1"/>
    <w:rsid w:val="4BF076A6"/>
    <w:rsid w:val="4BF47196"/>
    <w:rsid w:val="4BFF3834"/>
    <w:rsid w:val="4C013661"/>
    <w:rsid w:val="4C0B44E0"/>
    <w:rsid w:val="4C2630C7"/>
    <w:rsid w:val="4C285091"/>
    <w:rsid w:val="4C2C4B82"/>
    <w:rsid w:val="4C447C44"/>
    <w:rsid w:val="4C477228"/>
    <w:rsid w:val="4C4D2D4A"/>
    <w:rsid w:val="4C650094"/>
    <w:rsid w:val="4C6A56AA"/>
    <w:rsid w:val="4C6A7458"/>
    <w:rsid w:val="4C72455F"/>
    <w:rsid w:val="4C7622A1"/>
    <w:rsid w:val="4C7B3413"/>
    <w:rsid w:val="4C87000A"/>
    <w:rsid w:val="4C9829B2"/>
    <w:rsid w:val="4C9B03F9"/>
    <w:rsid w:val="4CAC181F"/>
    <w:rsid w:val="4CAF7561"/>
    <w:rsid w:val="4CCC0113"/>
    <w:rsid w:val="4CD55219"/>
    <w:rsid w:val="4CEE0089"/>
    <w:rsid w:val="4CF136D5"/>
    <w:rsid w:val="4CF5766A"/>
    <w:rsid w:val="4CF84A64"/>
    <w:rsid w:val="4D027691"/>
    <w:rsid w:val="4D137AF0"/>
    <w:rsid w:val="4D1B2795"/>
    <w:rsid w:val="4D1B4BF6"/>
    <w:rsid w:val="4D225F85"/>
    <w:rsid w:val="4D3203AA"/>
    <w:rsid w:val="4D381304"/>
    <w:rsid w:val="4D3A507C"/>
    <w:rsid w:val="4D3C4B28"/>
    <w:rsid w:val="4D3F6B37"/>
    <w:rsid w:val="4D432C78"/>
    <w:rsid w:val="4D5819A6"/>
    <w:rsid w:val="4D704F42"/>
    <w:rsid w:val="4D73233C"/>
    <w:rsid w:val="4D826A23"/>
    <w:rsid w:val="4D826C05"/>
    <w:rsid w:val="4D9C5D37"/>
    <w:rsid w:val="4D9F75D5"/>
    <w:rsid w:val="4DA16EA9"/>
    <w:rsid w:val="4DAE7818"/>
    <w:rsid w:val="4DB72B71"/>
    <w:rsid w:val="4DB82445"/>
    <w:rsid w:val="4DB90697"/>
    <w:rsid w:val="4DC22599"/>
    <w:rsid w:val="4DC86B2C"/>
    <w:rsid w:val="4DCE3A17"/>
    <w:rsid w:val="4DED6593"/>
    <w:rsid w:val="4DF20FD0"/>
    <w:rsid w:val="4DFC26BC"/>
    <w:rsid w:val="4E0F475B"/>
    <w:rsid w:val="4E1C0C26"/>
    <w:rsid w:val="4E2F35FD"/>
    <w:rsid w:val="4E3C4E24"/>
    <w:rsid w:val="4E4A12EF"/>
    <w:rsid w:val="4E4B04D4"/>
    <w:rsid w:val="4E6F51FA"/>
    <w:rsid w:val="4E827C5F"/>
    <w:rsid w:val="4EA824BA"/>
    <w:rsid w:val="4EAD187E"/>
    <w:rsid w:val="4EB726FD"/>
    <w:rsid w:val="4EBB3F9B"/>
    <w:rsid w:val="4EBD5F65"/>
    <w:rsid w:val="4ECA2430"/>
    <w:rsid w:val="4ED35788"/>
    <w:rsid w:val="4ED57EA4"/>
    <w:rsid w:val="4ED60298"/>
    <w:rsid w:val="4EE74D90"/>
    <w:rsid w:val="4EEE25C2"/>
    <w:rsid w:val="4EF23735"/>
    <w:rsid w:val="4EF61477"/>
    <w:rsid w:val="4EFA0F67"/>
    <w:rsid w:val="4F1D4C56"/>
    <w:rsid w:val="4F29184C"/>
    <w:rsid w:val="4F2A1121"/>
    <w:rsid w:val="4F2E0C11"/>
    <w:rsid w:val="4F4F0B87"/>
    <w:rsid w:val="4F51769B"/>
    <w:rsid w:val="4F587A3C"/>
    <w:rsid w:val="4F591729"/>
    <w:rsid w:val="4F604B42"/>
    <w:rsid w:val="4F714FA1"/>
    <w:rsid w:val="4F764366"/>
    <w:rsid w:val="4F7C1829"/>
    <w:rsid w:val="4F813436"/>
    <w:rsid w:val="4F824AB9"/>
    <w:rsid w:val="4F960564"/>
    <w:rsid w:val="4F9D2501"/>
    <w:rsid w:val="4F9D3865"/>
    <w:rsid w:val="4FA17635"/>
    <w:rsid w:val="4FAD5FDA"/>
    <w:rsid w:val="4FB355BA"/>
    <w:rsid w:val="4FB70C06"/>
    <w:rsid w:val="4FBE21CE"/>
    <w:rsid w:val="4FC11A85"/>
    <w:rsid w:val="4FC9093A"/>
    <w:rsid w:val="4FD84AF1"/>
    <w:rsid w:val="4FDF015D"/>
    <w:rsid w:val="4FDF63AF"/>
    <w:rsid w:val="4FE45773"/>
    <w:rsid w:val="4FE614EB"/>
    <w:rsid w:val="4FFA6D45"/>
    <w:rsid w:val="501032D9"/>
    <w:rsid w:val="501F67AB"/>
    <w:rsid w:val="5032511F"/>
    <w:rsid w:val="50354221"/>
    <w:rsid w:val="503C110B"/>
    <w:rsid w:val="503F29AA"/>
    <w:rsid w:val="50424937"/>
    <w:rsid w:val="504D1B7E"/>
    <w:rsid w:val="504F0E3F"/>
    <w:rsid w:val="50506965"/>
    <w:rsid w:val="506E45F3"/>
    <w:rsid w:val="506F14E1"/>
    <w:rsid w:val="507965D9"/>
    <w:rsid w:val="507A26D7"/>
    <w:rsid w:val="50811214"/>
    <w:rsid w:val="50836D3A"/>
    <w:rsid w:val="50874A7C"/>
    <w:rsid w:val="508F56DF"/>
    <w:rsid w:val="50A849F3"/>
    <w:rsid w:val="50AC6291"/>
    <w:rsid w:val="50BE7D72"/>
    <w:rsid w:val="50BF1E49"/>
    <w:rsid w:val="50C01D3C"/>
    <w:rsid w:val="50C47696"/>
    <w:rsid w:val="50D17AA6"/>
    <w:rsid w:val="50DD469C"/>
    <w:rsid w:val="50E579F5"/>
    <w:rsid w:val="50F32112"/>
    <w:rsid w:val="510660C7"/>
    <w:rsid w:val="511107EA"/>
    <w:rsid w:val="51121E6C"/>
    <w:rsid w:val="511300BE"/>
    <w:rsid w:val="51136310"/>
    <w:rsid w:val="511856D5"/>
    <w:rsid w:val="51273B6A"/>
    <w:rsid w:val="512A18AC"/>
    <w:rsid w:val="512E4EF8"/>
    <w:rsid w:val="512F2A1E"/>
    <w:rsid w:val="513B5867"/>
    <w:rsid w:val="513F1C05"/>
    <w:rsid w:val="51491D32"/>
    <w:rsid w:val="514D20C2"/>
    <w:rsid w:val="515E50B1"/>
    <w:rsid w:val="516721B8"/>
    <w:rsid w:val="516C3C72"/>
    <w:rsid w:val="516E3CCD"/>
    <w:rsid w:val="51705511"/>
    <w:rsid w:val="517A78E7"/>
    <w:rsid w:val="51856AE2"/>
    <w:rsid w:val="518A5EA7"/>
    <w:rsid w:val="51937451"/>
    <w:rsid w:val="51AE7DE7"/>
    <w:rsid w:val="51B00003"/>
    <w:rsid w:val="51B86EB8"/>
    <w:rsid w:val="51CC4711"/>
    <w:rsid w:val="51D57A6A"/>
    <w:rsid w:val="51EB2DE9"/>
    <w:rsid w:val="51F80EDF"/>
    <w:rsid w:val="51FF4AE6"/>
    <w:rsid w:val="520A497F"/>
    <w:rsid w:val="521265C8"/>
    <w:rsid w:val="52235F46"/>
    <w:rsid w:val="522E0F28"/>
    <w:rsid w:val="52391DA6"/>
    <w:rsid w:val="525A7F6F"/>
    <w:rsid w:val="525B1812"/>
    <w:rsid w:val="5263264C"/>
    <w:rsid w:val="52643BC3"/>
    <w:rsid w:val="526A6404"/>
    <w:rsid w:val="526D37FE"/>
    <w:rsid w:val="52757F9F"/>
    <w:rsid w:val="52A01914"/>
    <w:rsid w:val="52AB2578"/>
    <w:rsid w:val="52BB0A0D"/>
    <w:rsid w:val="52BF7DD2"/>
    <w:rsid w:val="52C61160"/>
    <w:rsid w:val="52D41ACF"/>
    <w:rsid w:val="52F537F4"/>
    <w:rsid w:val="52F67C97"/>
    <w:rsid w:val="52FB705C"/>
    <w:rsid w:val="5305612D"/>
    <w:rsid w:val="530C455B"/>
    <w:rsid w:val="530C74BB"/>
    <w:rsid w:val="530F6FAB"/>
    <w:rsid w:val="53106223"/>
    <w:rsid w:val="53336525"/>
    <w:rsid w:val="53396F90"/>
    <w:rsid w:val="53397B84"/>
    <w:rsid w:val="53424C8B"/>
    <w:rsid w:val="535449BE"/>
    <w:rsid w:val="53582700"/>
    <w:rsid w:val="535A6478"/>
    <w:rsid w:val="535B7AFB"/>
    <w:rsid w:val="53760DD8"/>
    <w:rsid w:val="537D3F15"/>
    <w:rsid w:val="538C05FC"/>
    <w:rsid w:val="538C7084"/>
    <w:rsid w:val="538F2EC8"/>
    <w:rsid w:val="53A63EB0"/>
    <w:rsid w:val="53AB0A82"/>
    <w:rsid w:val="53AB6CD4"/>
    <w:rsid w:val="53AF5AD9"/>
    <w:rsid w:val="53B73151"/>
    <w:rsid w:val="53D1600F"/>
    <w:rsid w:val="53D61877"/>
    <w:rsid w:val="53EC5A2E"/>
    <w:rsid w:val="53EF6A4B"/>
    <w:rsid w:val="53FF492A"/>
    <w:rsid w:val="5404204C"/>
    <w:rsid w:val="54063F0A"/>
    <w:rsid w:val="54252814"/>
    <w:rsid w:val="542919A7"/>
    <w:rsid w:val="54313ACD"/>
    <w:rsid w:val="54316AAD"/>
    <w:rsid w:val="544D38E7"/>
    <w:rsid w:val="545253A1"/>
    <w:rsid w:val="546334E6"/>
    <w:rsid w:val="54634FBC"/>
    <w:rsid w:val="54660E4D"/>
    <w:rsid w:val="547A48F8"/>
    <w:rsid w:val="548A2855"/>
    <w:rsid w:val="5492579E"/>
    <w:rsid w:val="54A76E71"/>
    <w:rsid w:val="54BE2A37"/>
    <w:rsid w:val="54DA7145"/>
    <w:rsid w:val="54EA0DCF"/>
    <w:rsid w:val="54ED50CA"/>
    <w:rsid w:val="54EF0E42"/>
    <w:rsid w:val="54F939A8"/>
    <w:rsid w:val="54F9581D"/>
    <w:rsid w:val="54FB77E7"/>
    <w:rsid w:val="54FE4BE1"/>
    <w:rsid w:val="55061CE8"/>
    <w:rsid w:val="55081F04"/>
    <w:rsid w:val="550D751A"/>
    <w:rsid w:val="55175CA3"/>
    <w:rsid w:val="55191A1B"/>
    <w:rsid w:val="55256612"/>
    <w:rsid w:val="5532282B"/>
    <w:rsid w:val="55384597"/>
    <w:rsid w:val="554462AB"/>
    <w:rsid w:val="55471F62"/>
    <w:rsid w:val="5550217C"/>
    <w:rsid w:val="55592760"/>
    <w:rsid w:val="555D5DAC"/>
    <w:rsid w:val="555E38D2"/>
    <w:rsid w:val="5569465C"/>
    <w:rsid w:val="556F1F83"/>
    <w:rsid w:val="55756A59"/>
    <w:rsid w:val="557D01FC"/>
    <w:rsid w:val="559621AB"/>
    <w:rsid w:val="559A7000"/>
    <w:rsid w:val="55A573C0"/>
    <w:rsid w:val="55A97243"/>
    <w:rsid w:val="55AE6607"/>
    <w:rsid w:val="55BF6A67"/>
    <w:rsid w:val="55C0458D"/>
    <w:rsid w:val="55C7162B"/>
    <w:rsid w:val="55CD27A6"/>
    <w:rsid w:val="55D6790C"/>
    <w:rsid w:val="55DD6EED"/>
    <w:rsid w:val="55FB55C5"/>
    <w:rsid w:val="55FD133D"/>
    <w:rsid w:val="56002BDB"/>
    <w:rsid w:val="56035BD4"/>
    <w:rsid w:val="56051FA0"/>
    <w:rsid w:val="56083D8A"/>
    <w:rsid w:val="561C605E"/>
    <w:rsid w:val="561F3061"/>
    <w:rsid w:val="56226FF5"/>
    <w:rsid w:val="562A47CC"/>
    <w:rsid w:val="56312D95"/>
    <w:rsid w:val="56315176"/>
    <w:rsid w:val="563A4A79"/>
    <w:rsid w:val="564231F4"/>
    <w:rsid w:val="564725B8"/>
    <w:rsid w:val="564B7E98"/>
    <w:rsid w:val="565B033A"/>
    <w:rsid w:val="565F7902"/>
    <w:rsid w:val="566B44F9"/>
    <w:rsid w:val="56705E4C"/>
    <w:rsid w:val="56794E67"/>
    <w:rsid w:val="567C4958"/>
    <w:rsid w:val="567F61F6"/>
    <w:rsid w:val="56827CD8"/>
    <w:rsid w:val="568D26C1"/>
    <w:rsid w:val="568F2FC7"/>
    <w:rsid w:val="56981066"/>
    <w:rsid w:val="569F3EC4"/>
    <w:rsid w:val="56A0495E"/>
    <w:rsid w:val="56A417B8"/>
    <w:rsid w:val="56A47B88"/>
    <w:rsid w:val="56C500AD"/>
    <w:rsid w:val="56D4209E"/>
    <w:rsid w:val="56D95E43"/>
    <w:rsid w:val="56E322E1"/>
    <w:rsid w:val="56EB73E7"/>
    <w:rsid w:val="56F3629C"/>
    <w:rsid w:val="56F75D8C"/>
    <w:rsid w:val="56FC0A35"/>
    <w:rsid w:val="57064221"/>
    <w:rsid w:val="570F30D6"/>
    <w:rsid w:val="571171F4"/>
    <w:rsid w:val="57187F8E"/>
    <w:rsid w:val="571C57F3"/>
    <w:rsid w:val="571E156B"/>
    <w:rsid w:val="572052E3"/>
    <w:rsid w:val="574C432A"/>
    <w:rsid w:val="57510996"/>
    <w:rsid w:val="57566F57"/>
    <w:rsid w:val="576A79BA"/>
    <w:rsid w:val="576F1DC6"/>
    <w:rsid w:val="57711FE2"/>
    <w:rsid w:val="577866E3"/>
    <w:rsid w:val="57790E97"/>
    <w:rsid w:val="578F06BB"/>
    <w:rsid w:val="57925AB5"/>
    <w:rsid w:val="579D6DAD"/>
    <w:rsid w:val="57A71560"/>
    <w:rsid w:val="57A87DB1"/>
    <w:rsid w:val="57AE1241"/>
    <w:rsid w:val="57AF2B0B"/>
    <w:rsid w:val="57B277DD"/>
    <w:rsid w:val="57B541EA"/>
    <w:rsid w:val="57B679F5"/>
    <w:rsid w:val="57BC2B32"/>
    <w:rsid w:val="57BF2D4E"/>
    <w:rsid w:val="57CA16F3"/>
    <w:rsid w:val="57DD31D4"/>
    <w:rsid w:val="57E207EA"/>
    <w:rsid w:val="57E30EA0"/>
    <w:rsid w:val="57EE3633"/>
    <w:rsid w:val="57F405FC"/>
    <w:rsid w:val="57F64296"/>
    <w:rsid w:val="57FC407F"/>
    <w:rsid w:val="57FF2520"/>
    <w:rsid w:val="57FF75EE"/>
    <w:rsid w:val="580C5867"/>
    <w:rsid w:val="5814296E"/>
    <w:rsid w:val="5818420C"/>
    <w:rsid w:val="58216BF6"/>
    <w:rsid w:val="58301BAD"/>
    <w:rsid w:val="58437F35"/>
    <w:rsid w:val="584E5E80"/>
    <w:rsid w:val="5853793A"/>
    <w:rsid w:val="585C65A8"/>
    <w:rsid w:val="58613E05"/>
    <w:rsid w:val="586600C2"/>
    <w:rsid w:val="5875340D"/>
    <w:rsid w:val="58A27F7A"/>
    <w:rsid w:val="58A61818"/>
    <w:rsid w:val="58A957AC"/>
    <w:rsid w:val="58AB5080"/>
    <w:rsid w:val="58AC2BA6"/>
    <w:rsid w:val="58B8154B"/>
    <w:rsid w:val="58BF28DA"/>
    <w:rsid w:val="58C104BC"/>
    <w:rsid w:val="58D2085F"/>
    <w:rsid w:val="58D47149"/>
    <w:rsid w:val="58D920BD"/>
    <w:rsid w:val="58E6430A"/>
    <w:rsid w:val="58ED3540"/>
    <w:rsid w:val="58F033DB"/>
    <w:rsid w:val="59011144"/>
    <w:rsid w:val="590824D3"/>
    <w:rsid w:val="59091DA7"/>
    <w:rsid w:val="590C38B8"/>
    <w:rsid w:val="59142C25"/>
    <w:rsid w:val="592A0813"/>
    <w:rsid w:val="59457283"/>
    <w:rsid w:val="596C0CB3"/>
    <w:rsid w:val="597638E0"/>
    <w:rsid w:val="59784947"/>
    <w:rsid w:val="59811062"/>
    <w:rsid w:val="598F04FE"/>
    <w:rsid w:val="5999312B"/>
    <w:rsid w:val="599E4BE5"/>
    <w:rsid w:val="59A0095D"/>
    <w:rsid w:val="59A1154E"/>
    <w:rsid w:val="59AD1C35"/>
    <w:rsid w:val="59AD6BD6"/>
    <w:rsid w:val="59AE0575"/>
    <w:rsid w:val="59C97EB4"/>
    <w:rsid w:val="59CA3C2C"/>
    <w:rsid w:val="59CA59DA"/>
    <w:rsid w:val="59D14FBA"/>
    <w:rsid w:val="59D32AE1"/>
    <w:rsid w:val="59DD379F"/>
    <w:rsid w:val="59E6355E"/>
    <w:rsid w:val="59E720E8"/>
    <w:rsid w:val="5A121D1E"/>
    <w:rsid w:val="5A1530F9"/>
    <w:rsid w:val="5A160C1F"/>
    <w:rsid w:val="5A1B7FE4"/>
    <w:rsid w:val="5A1D3D5C"/>
    <w:rsid w:val="5A4968FF"/>
    <w:rsid w:val="5A4A4453"/>
    <w:rsid w:val="5A5A0B0C"/>
    <w:rsid w:val="5A5D05FC"/>
    <w:rsid w:val="5A6951F3"/>
    <w:rsid w:val="5A7356E5"/>
    <w:rsid w:val="5A81078E"/>
    <w:rsid w:val="5A81253D"/>
    <w:rsid w:val="5A851686"/>
    <w:rsid w:val="5A865DA5"/>
    <w:rsid w:val="5A875679"/>
    <w:rsid w:val="5A896AD9"/>
    <w:rsid w:val="5A8E07B6"/>
    <w:rsid w:val="5A8E156E"/>
    <w:rsid w:val="5AB05564"/>
    <w:rsid w:val="5AB32912"/>
    <w:rsid w:val="5ABF4E13"/>
    <w:rsid w:val="5AD30F26"/>
    <w:rsid w:val="5AD52888"/>
    <w:rsid w:val="5ADB5A32"/>
    <w:rsid w:val="5AE12FDB"/>
    <w:rsid w:val="5AE26D53"/>
    <w:rsid w:val="5AF80325"/>
    <w:rsid w:val="5B1761D9"/>
    <w:rsid w:val="5B4672E2"/>
    <w:rsid w:val="5B4D241F"/>
    <w:rsid w:val="5B523ED9"/>
    <w:rsid w:val="5B525C87"/>
    <w:rsid w:val="5B61290C"/>
    <w:rsid w:val="5B6F05E7"/>
    <w:rsid w:val="5B761B14"/>
    <w:rsid w:val="5B7A067A"/>
    <w:rsid w:val="5B81656C"/>
    <w:rsid w:val="5B826ABD"/>
    <w:rsid w:val="5B9C33A6"/>
    <w:rsid w:val="5BAA5AC3"/>
    <w:rsid w:val="5BB97AB4"/>
    <w:rsid w:val="5BC052E6"/>
    <w:rsid w:val="5BC14BBB"/>
    <w:rsid w:val="5BCF552A"/>
    <w:rsid w:val="5BDB1E63"/>
    <w:rsid w:val="5BF40AEC"/>
    <w:rsid w:val="5BF60D08"/>
    <w:rsid w:val="5BFE196B"/>
    <w:rsid w:val="5C013209"/>
    <w:rsid w:val="5C0D7E00"/>
    <w:rsid w:val="5C14118E"/>
    <w:rsid w:val="5C1E200D"/>
    <w:rsid w:val="5C245875"/>
    <w:rsid w:val="5C297177"/>
    <w:rsid w:val="5C34538D"/>
    <w:rsid w:val="5C391CBB"/>
    <w:rsid w:val="5C45671C"/>
    <w:rsid w:val="5C4625B2"/>
    <w:rsid w:val="5C4D4754"/>
    <w:rsid w:val="5C5237B6"/>
    <w:rsid w:val="5C6A0DAE"/>
    <w:rsid w:val="5C82434A"/>
    <w:rsid w:val="5C9A2646"/>
    <w:rsid w:val="5CA70254"/>
    <w:rsid w:val="5CBD35D4"/>
    <w:rsid w:val="5CCC1A69"/>
    <w:rsid w:val="5CD03307"/>
    <w:rsid w:val="5CD10E2D"/>
    <w:rsid w:val="5CD34BA6"/>
    <w:rsid w:val="5CD728E8"/>
    <w:rsid w:val="5CEB62F1"/>
    <w:rsid w:val="5CFC1244"/>
    <w:rsid w:val="5D156F6C"/>
    <w:rsid w:val="5D186A5C"/>
    <w:rsid w:val="5D2673CB"/>
    <w:rsid w:val="5D323FC2"/>
    <w:rsid w:val="5D373386"/>
    <w:rsid w:val="5D3F048D"/>
    <w:rsid w:val="5D411B57"/>
    <w:rsid w:val="5D4F6922"/>
    <w:rsid w:val="5D5C4B9B"/>
    <w:rsid w:val="5D5E4DB7"/>
    <w:rsid w:val="5D647EF4"/>
    <w:rsid w:val="5D6B74D4"/>
    <w:rsid w:val="5D6C0F60"/>
    <w:rsid w:val="5D700646"/>
    <w:rsid w:val="5D752101"/>
    <w:rsid w:val="5D7C523D"/>
    <w:rsid w:val="5D7E2D63"/>
    <w:rsid w:val="5D7F0889"/>
    <w:rsid w:val="5D8966DB"/>
    <w:rsid w:val="5D8D11F8"/>
    <w:rsid w:val="5D8E5B2C"/>
    <w:rsid w:val="5D8F31C2"/>
    <w:rsid w:val="5D9500AD"/>
    <w:rsid w:val="5D964551"/>
    <w:rsid w:val="5D995DEF"/>
    <w:rsid w:val="5D9E3405"/>
    <w:rsid w:val="5DA14CA4"/>
    <w:rsid w:val="5DBC388C"/>
    <w:rsid w:val="5DC56BE4"/>
    <w:rsid w:val="5DE352BC"/>
    <w:rsid w:val="5DE51034"/>
    <w:rsid w:val="5DF9688E"/>
    <w:rsid w:val="5DFC012C"/>
    <w:rsid w:val="5E0A45F7"/>
    <w:rsid w:val="5E0B7272"/>
    <w:rsid w:val="5E0D40E7"/>
    <w:rsid w:val="5E0D42E0"/>
    <w:rsid w:val="5E14191A"/>
    <w:rsid w:val="5E1611EE"/>
    <w:rsid w:val="5E186770"/>
    <w:rsid w:val="5E242E5E"/>
    <w:rsid w:val="5E323B4E"/>
    <w:rsid w:val="5E342424"/>
    <w:rsid w:val="5E365670"/>
    <w:rsid w:val="5E36741C"/>
    <w:rsid w:val="5E3968DA"/>
    <w:rsid w:val="5E631F59"/>
    <w:rsid w:val="5E6535F3"/>
    <w:rsid w:val="5E6F08FE"/>
    <w:rsid w:val="5E7128C8"/>
    <w:rsid w:val="5E9A3AB1"/>
    <w:rsid w:val="5ECC3FA2"/>
    <w:rsid w:val="5ECC6F1A"/>
    <w:rsid w:val="5EEC01A1"/>
    <w:rsid w:val="5EF13A09"/>
    <w:rsid w:val="5EF3152F"/>
    <w:rsid w:val="5EF420AB"/>
    <w:rsid w:val="5EF57055"/>
    <w:rsid w:val="5F0454EA"/>
    <w:rsid w:val="5F203D95"/>
    <w:rsid w:val="5F316999"/>
    <w:rsid w:val="5F427DC1"/>
    <w:rsid w:val="5F6641C2"/>
    <w:rsid w:val="5F7408C2"/>
    <w:rsid w:val="5F772160"/>
    <w:rsid w:val="5F831334"/>
    <w:rsid w:val="5F8748E3"/>
    <w:rsid w:val="5F8F61EB"/>
    <w:rsid w:val="5F93061C"/>
    <w:rsid w:val="5F9525E6"/>
    <w:rsid w:val="5F962450"/>
    <w:rsid w:val="5F9920D6"/>
    <w:rsid w:val="5FB07420"/>
    <w:rsid w:val="5FBF7663"/>
    <w:rsid w:val="5FC37153"/>
    <w:rsid w:val="5FCB6008"/>
    <w:rsid w:val="5FCC26FB"/>
    <w:rsid w:val="5FD21144"/>
    <w:rsid w:val="5FD27396"/>
    <w:rsid w:val="5FD60110"/>
    <w:rsid w:val="5FD967D8"/>
    <w:rsid w:val="5FDE3F8D"/>
    <w:rsid w:val="5FDE5638"/>
    <w:rsid w:val="5FFC2665"/>
    <w:rsid w:val="601856F1"/>
    <w:rsid w:val="60495CEE"/>
    <w:rsid w:val="604F09E7"/>
    <w:rsid w:val="60501BDC"/>
    <w:rsid w:val="6062071A"/>
    <w:rsid w:val="606C3347"/>
    <w:rsid w:val="606F1089"/>
    <w:rsid w:val="607B17DC"/>
    <w:rsid w:val="607B7A2E"/>
    <w:rsid w:val="60805044"/>
    <w:rsid w:val="60955091"/>
    <w:rsid w:val="60996106"/>
    <w:rsid w:val="60B20B31"/>
    <w:rsid w:val="60BB607C"/>
    <w:rsid w:val="60C3313B"/>
    <w:rsid w:val="60ED5452"/>
    <w:rsid w:val="60FD48E7"/>
    <w:rsid w:val="61005EE2"/>
    <w:rsid w:val="61161505"/>
    <w:rsid w:val="611A2DA3"/>
    <w:rsid w:val="611F485D"/>
    <w:rsid w:val="611F660B"/>
    <w:rsid w:val="6129748A"/>
    <w:rsid w:val="61446072"/>
    <w:rsid w:val="6146003C"/>
    <w:rsid w:val="61537FDB"/>
    <w:rsid w:val="615564D1"/>
    <w:rsid w:val="61565DA5"/>
    <w:rsid w:val="615F10FE"/>
    <w:rsid w:val="617A11EA"/>
    <w:rsid w:val="618648DC"/>
    <w:rsid w:val="618B3CA1"/>
    <w:rsid w:val="61926DDD"/>
    <w:rsid w:val="61BD7BD2"/>
    <w:rsid w:val="61C16673"/>
    <w:rsid w:val="61CD6067"/>
    <w:rsid w:val="61DC44FC"/>
    <w:rsid w:val="61ED495B"/>
    <w:rsid w:val="61F43D69"/>
    <w:rsid w:val="61F77588"/>
    <w:rsid w:val="61F96E5C"/>
    <w:rsid w:val="62013F63"/>
    <w:rsid w:val="62103654"/>
    <w:rsid w:val="62165C60"/>
    <w:rsid w:val="62173786"/>
    <w:rsid w:val="62195750"/>
    <w:rsid w:val="621E4B15"/>
    <w:rsid w:val="622A34BA"/>
    <w:rsid w:val="62347E94"/>
    <w:rsid w:val="62426A55"/>
    <w:rsid w:val="624A7C23"/>
    <w:rsid w:val="624D53FA"/>
    <w:rsid w:val="62561697"/>
    <w:rsid w:val="62572071"/>
    <w:rsid w:val="6267026A"/>
    <w:rsid w:val="626A1B08"/>
    <w:rsid w:val="626F35C2"/>
    <w:rsid w:val="62724E61"/>
    <w:rsid w:val="62886432"/>
    <w:rsid w:val="628D7601"/>
    <w:rsid w:val="628E1C9B"/>
    <w:rsid w:val="62922E0D"/>
    <w:rsid w:val="629B6165"/>
    <w:rsid w:val="62A52BBD"/>
    <w:rsid w:val="62B2525D"/>
    <w:rsid w:val="62C15295"/>
    <w:rsid w:val="62C21944"/>
    <w:rsid w:val="62D82F16"/>
    <w:rsid w:val="62E01DCA"/>
    <w:rsid w:val="62E23D94"/>
    <w:rsid w:val="62E726D3"/>
    <w:rsid w:val="62F51D1A"/>
    <w:rsid w:val="630C2BBF"/>
    <w:rsid w:val="63185A08"/>
    <w:rsid w:val="631A1780"/>
    <w:rsid w:val="63491BD7"/>
    <w:rsid w:val="634E142A"/>
    <w:rsid w:val="63500CFE"/>
    <w:rsid w:val="63604CB9"/>
    <w:rsid w:val="63616F95"/>
    <w:rsid w:val="636807FD"/>
    <w:rsid w:val="63807109"/>
    <w:rsid w:val="63844E4C"/>
    <w:rsid w:val="638906B4"/>
    <w:rsid w:val="63892462"/>
    <w:rsid w:val="638B442C"/>
    <w:rsid w:val="63911317"/>
    <w:rsid w:val="63A4104A"/>
    <w:rsid w:val="63A742EF"/>
    <w:rsid w:val="63AE3C76"/>
    <w:rsid w:val="63AF0C92"/>
    <w:rsid w:val="63BA3EFA"/>
    <w:rsid w:val="63C27722"/>
    <w:rsid w:val="63D86537"/>
    <w:rsid w:val="640B2E77"/>
    <w:rsid w:val="640F0BB9"/>
    <w:rsid w:val="6417181C"/>
    <w:rsid w:val="641A755E"/>
    <w:rsid w:val="64283A29"/>
    <w:rsid w:val="642F4DB7"/>
    <w:rsid w:val="64314722"/>
    <w:rsid w:val="64354398"/>
    <w:rsid w:val="64372114"/>
    <w:rsid w:val="644257BE"/>
    <w:rsid w:val="64490689"/>
    <w:rsid w:val="644B7717"/>
    <w:rsid w:val="6457430E"/>
    <w:rsid w:val="64591E34"/>
    <w:rsid w:val="645C36D2"/>
    <w:rsid w:val="647629E6"/>
    <w:rsid w:val="647C1FC7"/>
    <w:rsid w:val="647E5D3F"/>
    <w:rsid w:val="648A0433"/>
    <w:rsid w:val="648D7D30"/>
    <w:rsid w:val="64935200"/>
    <w:rsid w:val="6498572D"/>
    <w:rsid w:val="64986E00"/>
    <w:rsid w:val="649E0720"/>
    <w:rsid w:val="64A37553"/>
    <w:rsid w:val="64AE3BAC"/>
    <w:rsid w:val="64B41760"/>
    <w:rsid w:val="64C03C61"/>
    <w:rsid w:val="64D4770D"/>
    <w:rsid w:val="64D53F74"/>
    <w:rsid w:val="64E3631C"/>
    <w:rsid w:val="64F14763"/>
    <w:rsid w:val="650049A6"/>
    <w:rsid w:val="65043135"/>
    <w:rsid w:val="650A06B1"/>
    <w:rsid w:val="65197815"/>
    <w:rsid w:val="651B74E4"/>
    <w:rsid w:val="651D695B"/>
    <w:rsid w:val="6522491C"/>
    <w:rsid w:val="65393A14"/>
    <w:rsid w:val="654A795E"/>
    <w:rsid w:val="65516FAF"/>
    <w:rsid w:val="656211BC"/>
    <w:rsid w:val="6565765C"/>
    <w:rsid w:val="65697A0C"/>
    <w:rsid w:val="657F58CB"/>
    <w:rsid w:val="65847385"/>
    <w:rsid w:val="65942B5B"/>
    <w:rsid w:val="659D0447"/>
    <w:rsid w:val="659E7368"/>
    <w:rsid w:val="65A13A93"/>
    <w:rsid w:val="65A90B99"/>
    <w:rsid w:val="65AC068A"/>
    <w:rsid w:val="65AD68DC"/>
    <w:rsid w:val="65AF490A"/>
    <w:rsid w:val="65B337C6"/>
    <w:rsid w:val="65B5753E"/>
    <w:rsid w:val="65B65064"/>
    <w:rsid w:val="65D934F6"/>
    <w:rsid w:val="65DF280D"/>
    <w:rsid w:val="65E0283D"/>
    <w:rsid w:val="65E36662"/>
    <w:rsid w:val="65E47E23"/>
    <w:rsid w:val="65F71905"/>
    <w:rsid w:val="65FC6F1B"/>
    <w:rsid w:val="6603474E"/>
    <w:rsid w:val="660B3602"/>
    <w:rsid w:val="661C580F"/>
    <w:rsid w:val="66270365"/>
    <w:rsid w:val="662D3578"/>
    <w:rsid w:val="66417024"/>
    <w:rsid w:val="66430A41"/>
    <w:rsid w:val="66507267"/>
    <w:rsid w:val="66650F64"/>
    <w:rsid w:val="66664CDC"/>
    <w:rsid w:val="667400A7"/>
    <w:rsid w:val="667B2536"/>
    <w:rsid w:val="66882EA5"/>
    <w:rsid w:val="668A2779"/>
    <w:rsid w:val="669730E8"/>
    <w:rsid w:val="669C425A"/>
    <w:rsid w:val="66A23F66"/>
    <w:rsid w:val="66A355E9"/>
    <w:rsid w:val="66CD51F5"/>
    <w:rsid w:val="66D41C46"/>
    <w:rsid w:val="66ED2D08"/>
    <w:rsid w:val="66F95668"/>
    <w:rsid w:val="66FA026A"/>
    <w:rsid w:val="67204E8B"/>
    <w:rsid w:val="6727621A"/>
    <w:rsid w:val="673F17B5"/>
    <w:rsid w:val="67472418"/>
    <w:rsid w:val="6749528C"/>
    <w:rsid w:val="6760797E"/>
    <w:rsid w:val="6764121C"/>
    <w:rsid w:val="67654F94"/>
    <w:rsid w:val="67656D42"/>
    <w:rsid w:val="676A25AA"/>
    <w:rsid w:val="67713939"/>
    <w:rsid w:val="67717495"/>
    <w:rsid w:val="6773320D"/>
    <w:rsid w:val="67786A75"/>
    <w:rsid w:val="677F7E04"/>
    <w:rsid w:val="67803B7C"/>
    <w:rsid w:val="67892A30"/>
    <w:rsid w:val="678C5870"/>
    <w:rsid w:val="67900263"/>
    <w:rsid w:val="679D472E"/>
    <w:rsid w:val="67AA64C0"/>
    <w:rsid w:val="67AB6E4B"/>
    <w:rsid w:val="67D0240D"/>
    <w:rsid w:val="67D6379C"/>
    <w:rsid w:val="67E10ABE"/>
    <w:rsid w:val="67E413CA"/>
    <w:rsid w:val="67E67E83"/>
    <w:rsid w:val="67F87BB6"/>
    <w:rsid w:val="67FB3202"/>
    <w:rsid w:val="67FD51CC"/>
    <w:rsid w:val="68071BA7"/>
    <w:rsid w:val="68264723"/>
    <w:rsid w:val="682F288E"/>
    <w:rsid w:val="68342E27"/>
    <w:rsid w:val="68346C45"/>
    <w:rsid w:val="68362C8E"/>
    <w:rsid w:val="683C7AA3"/>
    <w:rsid w:val="683D49D7"/>
    <w:rsid w:val="68437083"/>
    <w:rsid w:val="684626D0"/>
    <w:rsid w:val="684D3A5E"/>
    <w:rsid w:val="68556DB7"/>
    <w:rsid w:val="685A617B"/>
    <w:rsid w:val="685C16E8"/>
    <w:rsid w:val="685C6397"/>
    <w:rsid w:val="685E3EBD"/>
    <w:rsid w:val="68680554"/>
    <w:rsid w:val="68802085"/>
    <w:rsid w:val="68836B4D"/>
    <w:rsid w:val="689C2B2A"/>
    <w:rsid w:val="689C6793"/>
    <w:rsid w:val="68A8338A"/>
    <w:rsid w:val="68A97565"/>
    <w:rsid w:val="68BC0BE4"/>
    <w:rsid w:val="68CD4B9F"/>
    <w:rsid w:val="68DB0669"/>
    <w:rsid w:val="68DB72BC"/>
    <w:rsid w:val="690A7BA1"/>
    <w:rsid w:val="690F3409"/>
    <w:rsid w:val="691317F9"/>
    <w:rsid w:val="692A1FF1"/>
    <w:rsid w:val="692D1AE1"/>
    <w:rsid w:val="693370F8"/>
    <w:rsid w:val="693B7D5A"/>
    <w:rsid w:val="69470DF5"/>
    <w:rsid w:val="69750852"/>
    <w:rsid w:val="69845BA5"/>
    <w:rsid w:val="699456BD"/>
    <w:rsid w:val="6998062A"/>
    <w:rsid w:val="699904A8"/>
    <w:rsid w:val="69A753F0"/>
    <w:rsid w:val="69BD19C1"/>
    <w:rsid w:val="69C064B2"/>
    <w:rsid w:val="69D02B99"/>
    <w:rsid w:val="69D106BF"/>
    <w:rsid w:val="69DB45BF"/>
    <w:rsid w:val="69E10A3A"/>
    <w:rsid w:val="6A0960AB"/>
    <w:rsid w:val="6A096B13"/>
    <w:rsid w:val="6A1A2066"/>
    <w:rsid w:val="6A276531"/>
    <w:rsid w:val="6A42336B"/>
    <w:rsid w:val="6A503CD9"/>
    <w:rsid w:val="6A724046"/>
    <w:rsid w:val="6A7F636D"/>
    <w:rsid w:val="6A883473"/>
    <w:rsid w:val="6A9516EC"/>
    <w:rsid w:val="6AA85E77"/>
    <w:rsid w:val="6AB543B2"/>
    <w:rsid w:val="6ABC311D"/>
    <w:rsid w:val="6ABE6E95"/>
    <w:rsid w:val="6AC00E5F"/>
    <w:rsid w:val="6AC072FD"/>
    <w:rsid w:val="6AD00976"/>
    <w:rsid w:val="6AD22940"/>
    <w:rsid w:val="6AD541DF"/>
    <w:rsid w:val="6AD83814"/>
    <w:rsid w:val="6AD93CCF"/>
    <w:rsid w:val="6AEC1C54"/>
    <w:rsid w:val="6AF329BB"/>
    <w:rsid w:val="6AFB1E97"/>
    <w:rsid w:val="6AFD4B6E"/>
    <w:rsid w:val="6AFD5FCC"/>
    <w:rsid w:val="6AFF300A"/>
    <w:rsid w:val="6B014FD4"/>
    <w:rsid w:val="6B0D1BCA"/>
    <w:rsid w:val="6B190BE8"/>
    <w:rsid w:val="6B2334C7"/>
    <w:rsid w:val="6B286A04"/>
    <w:rsid w:val="6B2B08EF"/>
    <w:rsid w:val="6B301415"/>
    <w:rsid w:val="6B374871"/>
    <w:rsid w:val="6B3B6738"/>
    <w:rsid w:val="6B513865"/>
    <w:rsid w:val="6B623103"/>
    <w:rsid w:val="6B625DBD"/>
    <w:rsid w:val="6B6317EA"/>
    <w:rsid w:val="6B6537B4"/>
    <w:rsid w:val="6B6932A5"/>
    <w:rsid w:val="6B7B7D3A"/>
    <w:rsid w:val="6B8C6F93"/>
    <w:rsid w:val="6B9076F1"/>
    <w:rsid w:val="6BAC4F3F"/>
    <w:rsid w:val="6BB836EF"/>
    <w:rsid w:val="6BC8122B"/>
    <w:rsid w:val="6BC8124E"/>
    <w:rsid w:val="6BD43371"/>
    <w:rsid w:val="6BDB3A77"/>
    <w:rsid w:val="6BDB75D3"/>
    <w:rsid w:val="6BE10BE9"/>
    <w:rsid w:val="6BEC358E"/>
    <w:rsid w:val="6BF16DF6"/>
    <w:rsid w:val="6BFD266B"/>
    <w:rsid w:val="6C225202"/>
    <w:rsid w:val="6C2947E2"/>
    <w:rsid w:val="6C2B2308"/>
    <w:rsid w:val="6C303DC2"/>
    <w:rsid w:val="6C3B62C3"/>
    <w:rsid w:val="6C3F7B75"/>
    <w:rsid w:val="6C411B2C"/>
    <w:rsid w:val="6C440E46"/>
    <w:rsid w:val="6C5206D8"/>
    <w:rsid w:val="6C537AB1"/>
    <w:rsid w:val="6C54282D"/>
    <w:rsid w:val="6C5C384A"/>
    <w:rsid w:val="6C5E0930"/>
    <w:rsid w:val="6C5F6456"/>
    <w:rsid w:val="6C6C46CF"/>
    <w:rsid w:val="6C933265"/>
    <w:rsid w:val="6C9C6D62"/>
    <w:rsid w:val="6CA200F0"/>
    <w:rsid w:val="6CAD7224"/>
    <w:rsid w:val="6CB30550"/>
    <w:rsid w:val="6CB70040"/>
    <w:rsid w:val="6CBA3B94"/>
    <w:rsid w:val="6CBD4F2A"/>
    <w:rsid w:val="6CDA5ADC"/>
    <w:rsid w:val="6CE07597"/>
    <w:rsid w:val="6D142D9C"/>
    <w:rsid w:val="6D2356D5"/>
    <w:rsid w:val="6D3451EC"/>
    <w:rsid w:val="6D3A657B"/>
    <w:rsid w:val="6D3C6797"/>
    <w:rsid w:val="6D3E42BD"/>
    <w:rsid w:val="6D417909"/>
    <w:rsid w:val="6D4A2C62"/>
    <w:rsid w:val="6D505D9E"/>
    <w:rsid w:val="6D5C4743"/>
    <w:rsid w:val="6D633D24"/>
    <w:rsid w:val="6D6655C2"/>
    <w:rsid w:val="6D673814"/>
    <w:rsid w:val="6D723521"/>
    <w:rsid w:val="6D73043A"/>
    <w:rsid w:val="6D7E46BA"/>
    <w:rsid w:val="6D836174"/>
    <w:rsid w:val="6D9B170F"/>
    <w:rsid w:val="6DA93E2C"/>
    <w:rsid w:val="6DB427D1"/>
    <w:rsid w:val="6DC20A4A"/>
    <w:rsid w:val="6DC26C9C"/>
    <w:rsid w:val="6DD466D1"/>
    <w:rsid w:val="6DD62748"/>
    <w:rsid w:val="6DD93FE6"/>
    <w:rsid w:val="6DE50BDD"/>
    <w:rsid w:val="6DE674F9"/>
    <w:rsid w:val="6DE9247B"/>
    <w:rsid w:val="6DEF55B7"/>
    <w:rsid w:val="6DF40E20"/>
    <w:rsid w:val="6DF42BCE"/>
    <w:rsid w:val="6E03028D"/>
    <w:rsid w:val="6E032E11"/>
    <w:rsid w:val="6E0F7A08"/>
    <w:rsid w:val="6E1B63AC"/>
    <w:rsid w:val="6E2214E9"/>
    <w:rsid w:val="6E276AFF"/>
    <w:rsid w:val="6E2A65EF"/>
    <w:rsid w:val="6E2C05BA"/>
    <w:rsid w:val="6E3B07E5"/>
    <w:rsid w:val="6E3B25AB"/>
    <w:rsid w:val="6E453429"/>
    <w:rsid w:val="6E494CC8"/>
    <w:rsid w:val="6E4B4EE4"/>
    <w:rsid w:val="6E545085"/>
    <w:rsid w:val="6E565636"/>
    <w:rsid w:val="6E775CD9"/>
    <w:rsid w:val="6E871A82"/>
    <w:rsid w:val="6E891568"/>
    <w:rsid w:val="6E957F0D"/>
    <w:rsid w:val="6E9A3775"/>
    <w:rsid w:val="6E9F6FDD"/>
    <w:rsid w:val="6EB011EB"/>
    <w:rsid w:val="6EB1286D"/>
    <w:rsid w:val="6EB27D8B"/>
    <w:rsid w:val="6EBA5BC5"/>
    <w:rsid w:val="6EC46A44"/>
    <w:rsid w:val="6EC922AC"/>
    <w:rsid w:val="6ECB56CC"/>
    <w:rsid w:val="6ECD3B4B"/>
    <w:rsid w:val="6ED2544B"/>
    <w:rsid w:val="6ED76777"/>
    <w:rsid w:val="6EE36ECA"/>
    <w:rsid w:val="6EEB5D7F"/>
    <w:rsid w:val="6EF8334E"/>
    <w:rsid w:val="6F011A46"/>
    <w:rsid w:val="6F0419BD"/>
    <w:rsid w:val="6F046E40"/>
    <w:rsid w:val="6F265009"/>
    <w:rsid w:val="6F286FD3"/>
    <w:rsid w:val="6F321C00"/>
    <w:rsid w:val="6F3911E0"/>
    <w:rsid w:val="6F3B79A1"/>
    <w:rsid w:val="6F3E05A4"/>
    <w:rsid w:val="6F431C46"/>
    <w:rsid w:val="6F4551EB"/>
    <w:rsid w:val="6F467459"/>
    <w:rsid w:val="6F4A4283"/>
    <w:rsid w:val="6F525DFE"/>
    <w:rsid w:val="6F6618A9"/>
    <w:rsid w:val="6F743FC6"/>
    <w:rsid w:val="6F7F4719"/>
    <w:rsid w:val="6F863CF9"/>
    <w:rsid w:val="6F8C7562"/>
    <w:rsid w:val="6F947AC5"/>
    <w:rsid w:val="6FA7439C"/>
    <w:rsid w:val="6FA7614A"/>
    <w:rsid w:val="6FAA79E8"/>
    <w:rsid w:val="6FAB550E"/>
    <w:rsid w:val="6FAF14A2"/>
    <w:rsid w:val="6FBD596D"/>
    <w:rsid w:val="6FBF7ED4"/>
    <w:rsid w:val="6FC50CC6"/>
    <w:rsid w:val="6FCC5BB0"/>
    <w:rsid w:val="6FD05147"/>
    <w:rsid w:val="6FE078AE"/>
    <w:rsid w:val="6FE23626"/>
    <w:rsid w:val="6FE70C3C"/>
    <w:rsid w:val="6FF942D7"/>
    <w:rsid w:val="7000585A"/>
    <w:rsid w:val="700A66D9"/>
    <w:rsid w:val="70113542"/>
    <w:rsid w:val="701337DF"/>
    <w:rsid w:val="701557A9"/>
    <w:rsid w:val="702F4391"/>
    <w:rsid w:val="70335C2F"/>
    <w:rsid w:val="703F08A5"/>
    <w:rsid w:val="70425E72"/>
    <w:rsid w:val="70433998"/>
    <w:rsid w:val="704C646F"/>
    <w:rsid w:val="704F058F"/>
    <w:rsid w:val="705067E1"/>
    <w:rsid w:val="705362D1"/>
    <w:rsid w:val="70585696"/>
    <w:rsid w:val="705D2CAC"/>
    <w:rsid w:val="705D4A5A"/>
    <w:rsid w:val="7060454A"/>
    <w:rsid w:val="706E6C67"/>
    <w:rsid w:val="70787AE6"/>
    <w:rsid w:val="70854D7D"/>
    <w:rsid w:val="70875F7B"/>
    <w:rsid w:val="70923618"/>
    <w:rsid w:val="709A5CAE"/>
    <w:rsid w:val="709F5073"/>
    <w:rsid w:val="70A66401"/>
    <w:rsid w:val="70B623BC"/>
    <w:rsid w:val="70C51557"/>
    <w:rsid w:val="70C76378"/>
    <w:rsid w:val="70D016D0"/>
    <w:rsid w:val="70DC3F74"/>
    <w:rsid w:val="70E45CF5"/>
    <w:rsid w:val="70EF256E"/>
    <w:rsid w:val="70EF2996"/>
    <w:rsid w:val="710475CC"/>
    <w:rsid w:val="71080E6A"/>
    <w:rsid w:val="710F1DBC"/>
    <w:rsid w:val="711710AD"/>
    <w:rsid w:val="711D41EA"/>
    <w:rsid w:val="713E2EB7"/>
    <w:rsid w:val="71431EA2"/>
    <w:rsid w:val="714A6E09"/>
    <w:rsid w:val="714E3ED5"/>
    <w:rsid w:val="71526589"/>
    <w:rsid w:val="718801FD"/>
    <w:rsid w:val="7189187F"/>
    <w:rsid w:val="718D136F"/>
    <w:rsid w:val="71A1306D"/>
    <w:rsid w:val="71AD37BF"/>
    <w:rsid w:val="71B132B0"/>
    <w:rsid w:val="71C1726B"/>
    <w:rsid w:val="71C22219"/>
    <w:rsid w:val="71CA4371"/>
    <w:rsid w:val="71CD66B3"/>
    <w:rsid w:val="71E2790D"/>
    <w:rsid w:val="71ED1E0E"/>
    <w:rsid w:val="71F25676"/>
    <w:rsid w:val="71FC5EA9"/>
    <w:rsid w:val="720A6E64"/>
    <w:rsid w:val="720C2BDC"/>
    <w:rsid w:val="72113D4E"/>
    <w:rsid w:val="72165809"/>
    <w:rsid w:val="721970A7"/>
    <w:rsid w:val="721E646B"/>
    <w:rsid w:val="722577FA"/>
    <w:rsid w:val="722872EA"/>
    <w:rsid w:val="722E2C77"/>
    <w:rsid w:val="723A4ADC"/>
    <w:rsid w:val="723E2669"/>
    <w:rsid w:val="723F4D5F"/>
    <w:rsid w:val="724C4D86"/>
    <w:rsid w:val="725A62BB"/>
    <w:rsid w:val="725D6F93"/>
    <w:rsid w:val="72600832"/>
    <w:rsid w:val="726447C6"/>
    <w:rsid w:val="726C367A"/>
    <w:rsid w:val="72723293"/>
    <w:rsid w:val="728409C4"/>
    <w:rsid w:val="728C5ACB"/>
    <w:rsid w:val="728E539F"/>
    <w:rsid w:val="72A42E14"/>
    <w:rsid w:val="72A746B3"/>
    <w:rsid w:val="72AF5315"/>
    <w:rsid w:val="72BB331E"/>
    <w:rsid w:val="72D03C09"/>
    <w:rsid w:val="72D51220"/>
    <w:rsid w:val="72D66D46"/>
    <w:rsid w:val="72D74F98"/>
    <w:rsid w:val="72FA6ED8"/>
    <w:rsid w:val="72FD42D3"/>
    <w:rsid w:val="731A586D"/>
    <w:rsid w:val="733577AA"/>
    <w:rsid w:val="733D5BFD"/>
    <w:rsid w:val="734819F2"/>
    <w:rsid w:val="734C64B0"/>
    <w:rsid w:val="7350663A"/>
    <w:rsid w:val="735859AD"/>
    <w:rsid w:val="73770529"/>
    <w:rsid w:val="73774085"/>
    <w:rsid w:val="7379118E"/>
    <w:rsid w:val="73B250BD"/>
    <w:rsid w:val="73B9445E"/>
    <w:rsid w:val="73BE1CB4"/>
    <w:rsid w:val="73C179F6"/>
    <w:rsid w:val="73C372CA"/>
    <w:rsid w:val="73C67785"/>
    <w:rsid w:val="73CE5515"/>
    <w:rsid w:val="73D94D40"/>
    <w:rsid w:val="73EA2AA9"/>
    <w:rsid w:val="73EF4563"/>
    <w:rsid w:val="73F46929"/>
    <w:rsid w:val="73FC0A2E"/>
    <w:rsid w:val="74123DAE"/>
    <w:rsid w:val="741E2752"/>
    <w:rsid w:val="741E6BF6"/>
    <w:rsid w:val="7420471D"/>
    <w:rsid w:val="742C30C1"/>
    <w:rsid w:val="743261FE"/>
    <w:rsid w:val="74373814"/>
    <w:rsid w:val="744A79EB"/>
    <w:rsid w:val="74510D7A"/>
    <w:rsid w:val="7459612D"/>
    <w:rsid w:val="74624D35"/>
    <w:rsid w:val="74683926"/>
    <w:rsid w:val="74795BDB"/>
    <w:rsid w:val="747D56CB"/>
    <w:rsid w:val="74836A59"/>
    <w:rsid w:val="748527D2"/>
    <w:rsid w:val="748D0CB5"/>
    <w:rsid w:val="7499627D"/>
    <w:rsid w:val="74A215D5"/>
    <w:rsid w:val="74A54C22"/>
    <w:rsid w:val="74A70471"/>
    <w:rsid w:val="74B135C7"/>
    <w:rsid w:val="74C0380A"/>
    <w:rsid w:val="74C4779E"/>
    <w:rsid w:val="74CA4688"/>
    <w:rsid w:val="74CB28DA"/>
    <w:rsid w:val="74DB6895"/>
    <w:rsid w:val="74E92D60"/>
    <w:rsid w:val="74F3598D"/>
    <w:rsid w:val="75047B9A"/>
    <w:rsid w:val="75061B64"/>
    <w:rsid w:val="750758DC"/>
    <w:rsid w:val="750951B1"/>
    <w:rsid w:val="750E27C7"/>
    <w:rsid w:val="751A5610"/>
    <w:rsid w:val="75220020"/>
    <w:rsid w:val="752913AF"/>
    <w:rsid w:val="752D1B4D"/>
    <w:rsid w:val="75324707"/>
    <w:rsid w:val="75491A51"/>
    <w:rsid w:val="75556648"/>
    <w:rsid w:val="75616D9B"/>
    <w:rsid w:val="75620CC0"/>
    <w:rsid w:val="75705230"/>
    <w:rsid w:val="757271FA"/>
    <w:rsid w:val="757765BE"/>
    <w:rsid w:val="75786D3D"/>
    <w:rsid w:val="757F36C5"/>
    <w:rsid w:val="75840CDB"/>
    <w:rsid w:val="75876B22"/>
    <w:rsid w:val="758962F1"/>
    <w:rsid w:val="758A6C79"/>
    <w:rsid w:val="758E4747"/>
    <w:rsid w:val="758E56B6"/>
    <w:rsid w:val="75AE7B06"/>
    <w:rsid w:val="75B25848"/>
    <w:rsid w:val="75BE5F9B"/>
    <w:rsid w:val="75C37A55"/>
    <w:rsid w:val="75C431D1"/>
    <w:rsid w:val="75C80BC8"/>
    <w:rsid w:val="75C94940"/>
    <w:rsid w:val="75CB690A"/>
    <w:rsid w:val="75CD61DE"/>
    <w:rsid w:val="75D7705D"/>
    <w:rsid w:val="75E17EDC"/>
    <w:rsid w:val="75E30A8C"/>
    <w:rsid w:val="75E76FA0"/>
    <w:rsid w:val="75F220E9"/>
    <w:rsid w:val="75F30807"/>
    <w:rsid w:val="75F93477"/>
    <w:rsid w:val="76055F8E"/>
    <w:rsid w:val="760616F0"/>
    <w:rsid w:val="76067942"/>
    <w:rsid w:val="760D6F22"/>
    <w:rsid w:val="761107C1"/>
    <w:rsid w:val="7621477C"/>
    <w:rsid w:val="76283D5C"/>
    <w:rsid w:val="762D3121"/>
    <w:rsid w:val="762F50EB"/>
    <w:rsid w:val="7634625D"/>
    <w:rsid w:val="76452218"/>
    <w:rsid w:val="76522B87"/>
    <w:rsid w:val="76595CC4"/>
    <w:rsid w:val="767A2DB8"/>
    <w:rsid w:val="76805946"/>
    <w:rsid w:val="768371E5"/>
    <w:rsid w:val="769A5E93"/>
    <w:rsid w:val="769D3E02"/>
    <w:rsid w:val="76C77A80"/>
    <w:rsid w:val="76D33CC8"/>
    <w:rsid w:val="76D35A76"/>
    <w:rsid w:val="76D637B8"/>
    <w:rsid w:val="76E00BAD"/>
    <w:rsid w:val="76EC27D6"/>
    <w:rsid w:val="76FB4FCD"/>
    <w:rsid w:val="76FD0D45"/>
    <w:rsid w:val="77040325"/>
    <w:rsid w:val="771A42A0"/>
    <w:rsid w:val="771D13E7"/>
    <w:rsid w:val="773C6BB2"/>
    <w:rsid w:val="77495D38"/>
    <w:rsid w:val="77536BB7"/>
    <w:rsid w:val="775B5A6C"/>
    <w:rsid w:val="775F730A"/>
    <w:rsid w:val="77737259"/>
    <w:rsid w:val="77A411C1"/>
    <w:rsid w:val="77B70EF4"/>
    <w:rsid w:val="77BF424C"/>
    <w:rsid w:val="77D0645A"/>
    <w:rsid w:val="77D73344"/>
    <w:rsid w:val="77DD3761"/>
    <w:rsid w:val="77DE46D3"/>
    <w:rsid w:val="77E15F71"/>
    <w:rsid w:val="77E67A2B"/>
    <w:rsid w:val="77FA03B6"/>
    <w:rsid w:val="77FE2FC7"/>
    <w:rsid w:val="7803238B"/>
    <w:rsid w:val="780F0D30"/>
    <w:rsid w:val="78126A72"/>
    <w:rsid w:val="78174088"/>
    <w:rsid w:val="7840577B"/>
    <w:rsid w:val="7847671C"/>
    <w:rsid w:val="7855070D"/>
    <w:rsid w:val="785E75C1"/>
    <w:rsid w:val="786C6182"/>
    <w:rsid w:val="78762B5D"/>
    <w:rsid w:val="78827754"/>
    <w:rsid w:val="78A53442"/>
    <w:rsid w:val="78A85799"/>
    <w:rsid w:val="78BB2C66"/>
    <w:rsid w:val="78BC253A"/>
    <w:rsid w:val="78C935D5"/>
    <w:rsid w:val="78C95383"/>
    <w:rsid w:val="78CF04BF"/>
    <w:rsid w:val="78D45AD6"/>
    <w:rsid w:val="78E35D19"/>
    <w:rsid w:val="78F16688"/>
    <w:rsid w:val="78F33383"/>
    <w:rsid w:val="78F41CD4"/>
    <w:rsid w:val="790C7E65"/>
    <w:rsid w:val="790E2D96"/>
    <w:rsid w:val="791304E5"/>
    <w:rsid w:val="791505C8"/>
    <w:rsid w:val="79202AC9"/>
    <w:rsid w:val="79314CD6"/>
    <w:rsid w:val="7937347E"/>
    <w:rsid w:val="793F73F3"/>
    <w:rsid w:val="794964C4"/>
    <w:rsid w:val="796C21B2"/>
    <w:rsid w:val="796E1A86"/>
    <w:rsid w:val="797118DE"/>
    <w:rsid w:val="7973028D"/>
    <w:rsid w:val="79897A69"/>
    <w:rsid w:val="798E2128"/>
    <w:rsid w:val="798E6DA3"/>
    <w:rsid w:val="79975481"/>
    <w:rsid w:val="799F7E92"/>
    <w:rsid w:val="79A13C0A"/>
    <w:rsid w:val="79A454A8"/>
    <w:rsid w:val="79A511AB"/>
    <w:rsid w:val="79B25E17"/>
    <w:rsid w:val="79B54150"/>
    <w:rsid w:val="79D12015"/>
    <w:rsid w:val="79D7587D"/>
    <w:rsid w:val="79E61E2C"/>
    <w:rsid w:val="79E85CDC"/>
    <w:rsid w:val="79ED50A1"/>
    <w:rsid w:val="79FA156C"/>
    <w:rsid w:val="7A024A04"/>
    <w:rsid w:val="7A083C89"/>
    <w:rsid w:val="7A1A7BE1"/>
    <w:rsid w:val="7A1B7E60"/>
    <w:rsid w:val="7A1E34AC"/>
    <w:rsid w:val="7A2125FB"/>
    <w:rsid w:val="7A300A48"/>
    <w:rsid w:val="7A340F22"/>
    <w:rsid w:val="7A37631C"/>
    <w:rsid w:val="7A416D6C"/>
    <w:rsid w:val="7A431165"/>
    <w:rsid w:val="7A44189D"/>
    <w:rsid w:val="7A540C7C"/>
    <w:rsid w:val="7A5A025C"/>
    <w:rsid w:val="7A5C3FD5"/>
    <w:rsid w:val="7A65732D"/>
    <w:rsid w:val="7A6F1F5A"/>
    <w:rsid w:val="7A7A4001"/>
    <w:rsid w:val="7A8157E9"/>
    <w:rsid w:val="7A8B6668"/>
    <w:rsid w:val="7AAC0AB8"/>
    <w:rsid w:val="7AAF05A8"/>
    <w:rsid w:val="7AB7745D"/>
    <w:rsid w:val="7AD7365B"/>
    <w:rsid w:val="7AE53FCA"/>
    <w:rsid w:val="7AE616F0"/>
    <w:rsid w:val="7AE91D0C"/>
    <w:rsid w:val="7AEA7832"/>
    <w:rsid w:val="7AEC35AA"/>
    <w:rsid w:val="7AF4245F"/>
    <w:rsid w:val="7AFB1A3F"/>
    <w:rsid w:val="7AFF202E"/>
    <w:rsid w:val="7B05641A"/>
    <w:rsid w:val="7B160627"/>
    <w:rsid w:val="7B1B79EC"/>
    <w:rsid w:val="7B1E128A"/>
    <w:rsid w:val="7B331B0C"/>
    <w:rsid w:val="7B3D5BB4"/>
    <w:rsid w:val="7B4038F6"/>
    <w:rsid w:val="7B4231CA"/>
    <w:rsid w:val="7B42766E"/>
    <w:rsid w:val="7B4E2916"/>
    <w:rsid w:val="7B5B0554"/>
    <w:rsid w:val="7B6A2721"/>
    <w:rsid w:val="7B761FFE"/>
    <w:rsid w:val="7B7A0C15"/>
    <w:rsid w:val="7B917443"/>
    <w:rsid w:val="7B9A3006"/>
    <w:rsid w:val="7B9A4DB4"/>
    <w:rsid w:val="7BA67BFD"/>
    <w:rsid w:val="7BA774D1"/>
    <w:rsid w:val="7BA93249"/>
    <w:rsid w:val="7BAB0D70"/>
    <w:rsid w:val="7BAE0860"/>
    <w:rsid w:val="7BAF18BE"/>
    <w:rsid w:val="7BB31965"/>
    <w:rsid w:val="7BB435D5"/>
    <w:rsid w:val="7BC131EE"/>
    <w:rsid w:val="7BCA3986"/>
    <w:rsid w:val="7BCE5141"/>
    <w:rsid w:val="7BDC717B"/>
    <w:rsid w:val="7BDF0A19"/>
    <w:rsid w:val="7BDF310F"/>
    <w:rsid w:val="7BE10C35"/>
    <w:rsid w:val="7BE44282"/>
    <w:rsid w:val="7BFE17E7"/>
    <w:rsid w:val="7C0861C2"/>
    <w:rsid w:val="7C127041"/>
    <w:rsid w:val="7C163429"/>
    <w:rsid w:val="7C1E3C37"/>
    <w:rsid w:val="7C2736FE"/>
    <w:rsid w:val="7C2E7B4A"/>
    <w:rsid w:val="7C30396B"/>
    <w:rsid w:val="7C3A6597"/>
    <w:rsid w:val="7C3D3992"/>
    <w:rsid w:val="7C490589"/>
    <w:rsid w:val="7C6B49A3"/>
    <w:rsid w:val="7C6D24C9"/>
    <w:rsid w:val="7C701FB9"/>
    <w:rsid w:val="7C7C095E"/>
    <w:rsid w:val="7C8459EB"/>
    <w:rsid w:val="7C86358B"/>
    <w:rsid w:val="7C8F243F"/>
    <w:rsid w:val="7C975798"/>
    <w:rsid w:val="7CA62955"/>
    <w:rsid w:val="7CC85951"/>
    <w:rsid w:val="7CDB38D7"/>
    <w:rsid w:val="7CDC6D7B"/>
    <w:rsid w:val="7CDE6F23"/>
    <w:rsid w:val="7CFB5D27"/>
    <w:rsid w:val="7D056BA5"/>
    <w:rsid w:val="7D180687"/>
    <w:rsid w:val="7D1943FF"/>
    <w:rsid w:val="7D1B3CD3"/>
    <w:rsid w:val="7D3A72D2"/>
    <w:rsid w:val="7D496A92"/>
    <w:rsid w:val="7D4B1AA5"/>
    <w:rsid w:val="7D4B6A29"/>
    <w:rsid w:val="7D5502A1"/>
    <w:rsid w:val="7D56799A"/>
    <w:rsid w:val="7D5F7B07"/>
    <w:rsid w:val="7D6438CC"/>
    <w:rsid w:val="7D6C7EFD"/>
    <w:rsid w:val="7D7358BD"/>
    <w:rsid w:val="7D80447E"/>
    <w:rsid w:val="7D83508E"/>
    <w:rsid w:val="7D8E26F7"/>
    <w:rsid w:val="7D9F17DB"/>
    <w:rsid w:val="7DA41F1A"/>
    <w:rsid w:val="7DA97531"/>
    <w:rsid w:val="7DCC38F2"/>
    <w:rsid w:val="7DE06CCB"/>
    <w:rsid w:val="7DEC38C1"/>
    <w:rsid w:val="7DEE3196"/>
    <w:rsid w:val="7E0012A4"/>
    <w:rsid w:val="7E01736D"/>
    <w:rsid w:val="7E040C0B"/>
    <w:rsid w:val="7E066731"/>
    <w:rsid w:val="7E0D3F64"/>
    <w:rsid w:val="7E0D5D12"/>
    <w:rsid w:val="7E12157A"/>
    <w:rsid w:val="7E1E6858"/>
    <w:rsid w:val="7E1F3C97"/>
    <w:rsid w:val="7E2117BD"/>
    <w:rsid w:val="7E307C52"/>
    <w:rsid w:val="7E327526"/>
    <w:rsid w:val="7E350DC4"/>
    <w:rsid w:val="7E3E236F"/>
    <w:rsid w:val="7E484F9C"/>
    <w:rsid w:val="7E4E1E86"/>
    <w:rsid w:val="7E521976"/>
    <w:rsid w:val="7E622F60"/>
    <w:rsid w:val="7E68119A"/>
    <w:rsid w:val="7E6A6006"/>
    <w:rsid w:val="7E81400A"/>
    <w:rsid w:val="7E8A7B62"/>
    <w:rsid w:val="7E8B30DA"/>
    <w:rsid w:val="7E9A50CB"/>
    <w:rsid w:val="7EAF501B"/>
    <w:rsid w:val="7EC20303"/>
    <w:rsid w:val="7EC34622"/>
    <w:rsid w:val="7EC51C25"/>
    <w:rsid w:val="7EC86F76"/>
    <w:rsid w:val="7ED20D09"/>
    <w:rsid w:val="7ED700CE"/>
    <w:rsid w:val="7EDE320A"/>
    <w:rsid w:val="7EE41909"/>
    <w:rsid w:val="7EF40783"/>
    <w:rsid w:val="7EF944E8"/>
    <w:rsid w:val="7F0F5AB9"/>
    <w:rsid w:val="7F321FF2"/>
    <w:rsid w:val="7F3E014D"/>
    <w:rsid w:val="7F475253"/>
    <w:rsid w:val="7F4C4618"/>
    <w:rsid w:val="7F4D0390"/>
    <w:rsid w:val="7F622A13"/>
    <w:rsid w:val="7F6A7194"/>
    <w:rsid w:val="7F7053F8"/>
    <w:rsid w:val="7F7270AD"/>
    <w:rsid w:val="7F783631"/>
    <w:rsid w:val="7F791185"/>
    <w:rsid w:val="7F853FCE"/>
    <w:rsid w:val="7F912972"/>
    <w:rsid w:val="7F985AAF"/>
    <w:rsid w:val="7FA2692E"/>
    <w:rsid w:val="7FB83A5B"/>
    <w:rsid w:val="7FC9210C"/>
    <w:rsid w:val="7FCE7723"/>
    <w:rsid w:val="7FD64829"/>
    <w:rsid w:val="7FDC393E"/>
    <w:rsid w:val="7FE900B8"/>
    <w:rsid w:val="7FF8479F"/>
    <w:rsid w:val="7FFB603E"/>
    <w:rsid w:val="7FFD591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spacing w:beforeAutospacing="1" w:afterAutospacing="1"/>
      <w:jc w:val="left"/>
      <w:outlineLvl w:val="2"/>
    </w:pPr>
    <w:rPr>
      <w:rFonts w:ascii="宋体" w:cs="宋体"/>
      <w:b/>
      <w:kern w:val="0"/>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Document Map"/>
    <w:basedOn w:val="1"/>
    <w:link w:val="29"/>
    <w:qFormat/>
    <w:uiPriority w:val="0"/>
    <w:rPr>
      <w:rFonts w:ascii="宋体"/>
      <w:sz w:val="18"/>
      <w:szCs w:val="18"/>
    </w:rPr>
  </w:style>
  <w:style w:type="paragraph" w:styleId="7">
    <w:name w:val="annotation text"/>
    <w:basedOn w:val="1"/>
    <w:qFormat/>
    <w:uiPriority w:val="0"/>
    <w:pPr>
      <w:jc w:val="left"/>
    </w:pPr>
  </w:style>
  <w:style w:type="paragraph" w:styleId="8">
    <w:name w:val="Body Text"/>
    <w:basedOn w:val="1"/>
    <w:next w:val="1"/>
    <w:qFormat/>
    <w:uiPriority w:val="0"/>
    <w:rPr>
      <w:rFonts w:ascii="黑体" w:hAnsi="Courier New" w:eastAsia="黑体"/>
      <w:sz w:val="30"/>
      <w:shd w:val="pct10" w:color="auto" w:fill="FFFFFF"/>
    </w:rPr>
  </w:style>
  <w:style w:type="paragraph" w:styleId="9">
    <w:name w:val="Body Text Indent"/>
    <w:basedOn w:val="1"/>
    <w:qFormat/>
    <w:uiPriority w:val="0"/>
    <w:pPr>
      <w:spacing w:line="720" w:lineRule="exact"/>
      <w:ind w:firstLine="601"/>
    </w:pPr>
    <w:rPr>
      <w:rFonts w:ascii="宋体" w:hAnsi="宋体"/>
      <w:sz w:val="24"/>
    </w:rPr>
  </w:style>
  <w:style w:type="paragraph" w:styleId="10">
    <w:name w:val="Plain Text"/>
    <w:basedOn w:val="1"/>
    <w:next w:val="8"/>
    <w:qFormat/>
    <w:uiPriority w:val="0"/>
    <w:rPr>
      <w:rFonts w:ascii="宋体" w:hAnsi="Courier New"/>
      <w:sz w:val="18"/>
      <w:szCs w:val="20"/>
    </w:rPr>
  </w:style>
  <w:style w:type="paragraph" w:styleId="11">
    <w:name w:val="Body Text Indent 2"/>
    <w:basedOn w:val="1"/>
    <w:qFormat/>
    <w:uiPriority w:val="99"/>
    <w:pPr>
      <w:spacing w:line="0" w:lineRule="atLeast"/>
      <w:ind w:firstLine="640"/>
    </w:pPr>
    <w:rPr>
      <w:rFonts w:ascii="楷体_GB2312" w:eastAsia="楷体_GB2312"/>
      <w:sz w:val="30"/>
      <w:szCs w:val="20"/>
    </w:rPr>
  </w:style>
  <w:style w:type="paragraph" w:styleId="12">
    <w:name w:val="Balloon Text"/>
    <w:basedOn w:val="1"/>
    <w:link w:val="31"/>
    <w:qFormat/>
    <w:uiPriority w:val="0"/>
    <w:rPr>
      <w:sz w:val="18"/>
      <w:szCs w:val="18"/>
    </w:rPr>
  </w:style>
  <w:style w:type="paragraph" w:styleId="13">
    <w:name w:val="footer"/>
    <w:basedOn w:val="1"/>
    <w:link w:val="30"/>
    <w:qFormat/>
    <w:uiPriority w:val="99"/>
    <w:pPr>
      <w:tabs>
        <w:tab w:val="center" w:pos="4153"/>
        <w:tab w:val="right" w:pos="8306"/>
      </w:tabs>
      <w:snapToGrid w:val="0"/>
      <w:jc w:val="left"/>
    </w:pPr>
    <w:rPr>
      <w:sz w:val="18"/>
    </w:rPr>
  </w:style>
  <w:style w:type="paragraph" w:styleId="14">
    <w:name w:val="header"/>
    <w:basedOn w:val="1"/>
    <w:link w:val="37"/>
    <w:qFormat/>
    <w:uiPriority w:val="0"/>
    <w:pPr>
      <w:tabs>
        <w:tab w:val="center" w:pos="4153"/>
        <w:tab w:val="right" w:pos="8306"/>
      </w:tabs>
      <w:snapToGrid w:val="0"/>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18">
    <w:name w:val="Normal (Web)"/>
    <w:basedOn w:val="1"/>
    <w:qFormat/>
    <w:uiPriority w:val="0"/>
    <w:pPr>
      <w:spacing w:beforeAutospacing="1" w:afterAutospacing="1"/>
      <w:jc w:val="left"/>
    </w:pPr>
    <w:rPr>
      <w:kern w:val="0"/>
      <w:sz w:val="24"/>
    </w:rPr>
  </w:style>
  <w:style w:type="paragraph" w:styleId="19">
    <w:name w:val="Title"/>
    <w:basedOn w:val="1"/>
    <w:next w:val="1"/>
    <w:qFormat/>
    <w:uiPriority w:val="0"/>
    <w:pPr>
      <w:spacing w:before="240" w:after="60"/>
      <w:jc w:val="center"/>
      <w:outlineLvl w:val="0"/>
    </w:pPr>
    <w:rPr>
      <w:rFonts w:ascii="Cambria" w:hAnsi="Cambria"/>
      <w:b/>
      <w:bCs/>
      <w:sz w:val="32"/>
      <w:szCs w:val="32"/>
    </w:rPr>
  </w:style>
  <w:style w:type="paragraph" w:styleId="20">
    <w:name w:val="Body Text First Indent 2"/>
    <w:basedOn w:val="9"/>
    <w:qFormat/>
    <w:uiPriority w:val="0"/>
    <w:pPr>
      <w:ind w:firstLine="210"/>
    </w:pPr>
    <w:rPr>
      <w:sz w:val="21"/>
    </w:rPr>
  </w:style>
  <w:style w:type="table" w:styleId="22">
    <w:name w:val="Table Grid"/>
    <w:basedOn w:val="21"/>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9">
    <w:name w:val="文档结构图 字符"/>
    <w:basedOn w:val="23"/>
    <w:link w:val="6"/>
    <w:qFormat/>
    <w:uiPriority w:val="0"/>
    <w:rPr>
      <w:rFonts w:ascii="宋体" w:hAnsi="Calibri" w:eastAsia="宋体" w:cs="Arial"/>
      <w:kern w:val="2"/>
      <w:sz w:val="18"/>
      <w:szCs w:val="18"/>
    </w:rPr>
  </w:style>
  <w:style w:type="character" w:customStyle="1" w:styleId="30">
    <w:name w:val="页脚 字符"/>
    <w:basedOn w:val="23"/>
    <w:link w:val="13"/>
    <w:qFormat/>
    <w:uiPriority w:val="99"/>
    <w:rPr>
      <w:rFonts w:ascii="Calibri" w:hAnsi="Calibri" w:eastAsia="宋体" w:cs="Arial"/>
      <w:kern w:val="2"/>
      <w:sz w:val="18"/>
      <w:szCs w:val="24"/>
    </w:rPr>
  </w:style>
  <w:style w:type="character" w:customStyle="1" w:styleId="31">
    <w:name w:val="批注框文本 字符"/>
    <w:basedOn w:val="23"/>
    <w:link w:val="12"/>
    <w:qFormat/>
    <w:uiPriority w:val="0"/>
    <w:rPr>
      <w:rFonts w:ascii="Calibri" w:hAnsi="Calibri" w:eastAsia="宋体" w:cs="Arial"/>
      <w:kern w:val="2"/>
      <w:sz w:val="18"/>
      <w:szCs w:val="18"/>
    </w:rPr>
  </w:style>
  <w:style w:type="paragraph" w:customStyle="1" w:styleId="32">
    <w:name w:val="表中"/>
    <w:basedOn w:val="1"/>
    <w:qFormat/>
    <w:uiPriority w:val="0"/>
    <w:pPr>
      <w:adjustRightInd w:val="0"/>
      <w:spacing w:line="360" w:lineRule="atLeast"/>
      <w:jc w:val="center"/>
      <w:textAlignment w:val="baseline"/>
    </w:pPr>
    <w:rPr>
      <w:rFonts w:ascii="Times New Roman"/>
      <w:kern w:val="0"/>
    </w:rPr>
  </w:style>
  <w:style w:type="paragraph" w:customStyle="1" w:styleId="33">
    <w:name w:val="列出段落1"/>
    <w:basedOn w:val="1"/>
    <w:qFormat/>
    <w:uiPriority w:val="34"/>
    <w:pPr>
      <w:ind w:firstLine="420" w:firstLineChars="200"/>
    </w:pPr>
  </w:style>
  <w:style w:type="paragraph" w:customStyle="1" w:styleId="34">
    <w:name w:val="表格文字"/>
    <w:basedOn w:val="1"/>
    <w:qFormat/>
    <w:uiPriority w:val="0"/>
    <w:pPr>
      <w:adjustRightInd w:val="0"/>
      <w:spacing w:line="420" w:lineRule="atLeast"/>
      <w:jc w:val="left"/>
      <w:textAlignment w:val="baseline"/>
    </w:pPr>
    <w:rPr>
      <w:kern w:val="0"/>
      <w:szCs w:val="20"/>
    </w:rPr>
  </w:style>
  <w:style w:type="paragraph" w:customStyle="1" w:styleId="35">
    <w:name w:val="样式3"/>
    <w:basedOn w:val="10"/>
    <w:qFormat/>
    <w:uiPriority w:val="0"/>
    <w:pPr>
      <w:spacing w:line="0" w:lineRule="atLeast"/>
      <w:outlineLvl w:val="0"/>
    </w:pPr>
    <w:rPr>
      <w:rFonts w:cs="Times New Roman"/>
      <w:sz w:val="28"/>
    </w:rPr>
  </w:style>
  <w:style w:type="paragraph" w:customStyle="1" w:styleId="36">
    <w:name w:val="招标文件正文"/>
    <w:basedOn w:val="1"/>
    <w:qFormat/>
    <w:uiPriority w:val="0"/>
    <w:pPr>
      <w:spacing w:line="300" w:lineRule="auto"/>
      <w:ind w:firstLine="200" w:firstLineChars="200"/>
      <w:jc w:val="left"/>
    </w:pPr>
    <w:rPr>
      <w:rFonts w:ascii="Times New Roman" w:hAnsi="Times New Roman"/>
      <w:kern w:val="0"/>
      <w:sz w:val="32"/>
      <w:szCs w:val="32"/>
    </w:rPr>
  </w:style>
  <w:style w:type="character" w:customStyle="1" w:styleId="37">
    <w:name w:val="页眉 字符"/>
    <w:basedOn w:val="23"/>
    <w:link w:val="14"/>
    <w:qFormat/>
    <w:uiPriority w:val="0"/>
    <w:rPr>
      <w:rFonts w:cs="Arial"/>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83</Pages>
  <Words>44155</Words>
  <Characters>46291</Characters>
  <Lines>373</Lines>
  <Paragraphs>105</Paragraphs>
  <TotalTime>30</TotalTime>
  <ScaleCrop>false</ScaleCrop>
  <LinksUpToDate>false</LinksUpToDate>
  <CharactersWithSpaces>49585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2022-05-27T11:36:00Z</dcterms:created>
  <dc:creator>xx</dc:creator>
  <cp:lastModifiedBy>FanShuZhen</cp:lastModifiedBy>
  <cp:lastPrinted>2023-07-13T08:10:00Z</cp:lastPrinted>
  <dcterms:modified xsi:type="dcterms:W3CDTF">2023-07-18T07:35:09Z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1D4B2295A78649D8B38A5A8582CC04A0_13</vt:lpwstr>
  </property>
</Properties>
</file>