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before="60" w:beforeAutospacing="0" w:after="60" w:afterAutospacing="0"/>
        <w:ind w:firstLine="1144"/>
        <w:jc w:val="center"/>
        <w:rPr>
          <w:rStyle w:val="17"/>
          <w:rFonts w:asciiTheme="minorEastAsia" w:hAnsiTheme="minorEastAsia" w:cstheme="minorEastAsia"/>
          <w:bCs/>
          <w:sz w:val="57"/>
          <w:szCs w:val="57"/>
          <w:shd w:val="clear" w:color="auto" w:fill="FFFFFF"/>
        </w:rPr>
      </w:pPr>
      <w:r>
        <w:rPr>
          <w:rStyle w:val="17"/>
          <w:rFonts w:hint="eastAsia" w:asciiTheme="minorEastAsia" w:hAnsiTheme="minorEastAsia" w:cstheme="minorEastAsia"/>
          <w:bCs/>
          <w:sz w:val="57"/>
          <w:szCs w:val="57"/>
          <w:shd w:val="clear" w:color="auto" w:fill="FFFFFF"/>
        </w:rPr>
        <w:t>天津大学福州国际联合学院</w:t>
      </w:r>
    </w:p>
    <w:p>
      <w:pPr>
        <w:pStyle w:val="12"/>
        <w:widowControl/>
        <w:shd w:val="clear" w:color="auto" w:fill="FFFFFF"/>
        <w:spacing w:before="60" w:beforeAutospacing="0" w:after="60" w:afterAutospacing="0"/>
        <w:ind w:firstLine="1144"/>
        <w:jc w:val="center"/>
        <w:rPr>
          <w:rFonts w:asciiTheme="minorEastAsia" w:hAnsiTheme="minorEastAsia" w:cstheme="minorEastAsia"/>
          <w:sz w:val="15"/>
          <w:szCs w:val="15"/>
        </w:rPr>
      </w:pPr>
      <w:r>
        <w:rPr>
          <w:rStyle w:val="17"/>
          <w:rFonts w:hint="eastAsia" w:asciiTheme="minorEastAsia" w:hAnsiTheme="minorEastAsia" w:cstheme="minorEastAsia"/>
          <w:bCs/>
          <w:sz w:val="57"/>
          <w:szCs w:val="57"/>
          <w:shd w:val="clear" w:color="auto" w:fill="FFFFFF"/>
        </w:rPr>
        <w:t>非标采购文件</w:t>
      </w:r>
    </w:p>
    <w:p>
      <w:pPr>
        <w:pStyle w:val="12"/>
        <w:widowControl/>
        <w:shd w:val="clear" w:color="auto" w:fill="FFFFFF"/>
        <w:spacing w:before="60" w:beforeAutospacing="0" w:after="60" w:afterAutospacing="0"/>
        <w:ind w:firstLine="300"/>
        <w:rPr>
          <w:rFonts w:asciiTheme="minorEastAsia" w:hAnsiTheme="minorEastAsia" w:cstheme="minorEastAsia"/>
          <w:sz w:val="15"/>
          <w:szCs w:val="15"/>
        </w:rPr>
      </w:pPr>
    </w:p>
    <w:p>
      <w:pPr>
        <w:pStyle w:val="12"/>
        <w:widowControl/>
        <w:shd w:val="clear" w:color="auto" w:fill="FFFFFF"/>
        <w:spacing w:before="60" w:beforeAutospacing="0" w:after="60" w:afterAutospacing="0"/>
        <w:ind w:firstLine="562"/>
        <w:jc w:val="center"/>
        <w:rPr>
          <w:rFonts w:asciiTheme="minorEastAsia" w:hAnsiTheme="minorEastAsia" w:cstheme="minorEastAsia"/>
          <w:b/>
          <w:bCs/>
          <w:sz w:val="28"/>
          <w:szCs w:val="28"/>
          <w:shd w:val="clear" w:color="auto" w:fill="FFFFFF"/>
        </w:rPr>
      </w:pPr>
      <w:r>
        <w:rPr>
          <w:rStyle w:val="17"/>
          <w:rFonts w:hint="eastAsia" w:asciiTheme="minorEastAsia" w:hAnsiTheme="minorEastAsia" w:cstheme="minorEastAsia"/>
          <w:bCs/>
          <w:sz w:val="28"/>
          <w:szCs w:val="28"/>
          <w:shd w:val="clear" w:color="auto" w:fill="FFFFFF"/>
        </w:rPr>
        <w:t>项目名称：</w:t>
      </w:r>
      <w:r>
        <w:rPr>
          <w:rFonts w:hint="eastAsia" w:asciiTheme="minorEastAsia" w:hAnsiTheme="minorEastAsia" w:cstheme="minorEastAsia"/>
          <w:b/>
          <w:bCs/>
          <w:sz w:val="28"/>
          <w:szCs w:val="28"/>
          <w:shd w:val="clear" w:color="auto" w:fill="FFFFFF"/>
        </w:rPr>
        <w:t>天津大学福州国际联合学院2024年信息化</w:t>
      </w:r>
    </w:p>
    <w:p>
      <w:pPr>
        <w:pStyle w:val="12"/>
        <w:widowControl/>
        <w:shd w:val="clear" w:color="auto" w:fill="FFFFFF"/>
        <w:spacing w:before="60" w:beforeAutospacing="0" w:after="60" w:afterAutospacing="0"/>
        <w:ind w:firstLine="562"/>
        <w:jc w:val="center"/>
        <w:rPr>
          <w:rFonts w:asciiTheme="minorEastAsia" w:hAnsiTheme="minorEastAsia" w:cstheme="minorEastAsia"/>
          <w:sz w:val="28"/>
          <w:szCs w:val="28"/>
        </w:rPr>
      </w:pPr>
      <w:r>
        <w:rPr>
          <w:rFonts w:hint="eastAsia" w:asciiTheme="minorEastAsia" w:hAnsiTheme="minorEastAsia" w:cstheme="minorEastAsia"/>
          <w:b/>
          <w:bCs/>
          <w:sz w:val="28"/>
          <w:szCs w:val="28"/>
          <w:shd w:val="clear" w:color="auto" w:fill="FFFFFF"/>
        </w:rPr>
        <w:t>运维服务采购项目（第二次）</w:t>
      </w:r>
    </w:p>
    <w:p>
      <w:pPr>
        <w:pStyle w:val="12"/>
        <w:widowControl/>
        <w:shd w:val="clear" w:color="auto" w:fill="FFFFFF"/>
        <w:spacing w:before="60" w:beforeAutospacing="0" w:after="60" w:afterAutospacing="0"/>
        <w:ind w:firstLine="300"/>
        <w:jc w:val="center"/>
        <w:rPr>
          <w:rFonts w:asciiTheme="minorEastAsia" w:hAnsiTheme="minorEastAsia" w:cstheme="minorEastAsia"/>
          <w:sz w:val="15"/>
          <w:szCs w:val="15"/>
        </w:rPr>
      </w:pPr>
    </w:p>
    <w:p>
      <w:pPr>
        <w:pStyle w:val="12"/>
        <w:widowControl/>
        <w:shd w:val="clear" w:color="auto" w:fill="FFFFFF"/>
        <w:spacing w:before="60" w:beforeAutospacing="0" w:after="60" w:afterAutospacing="0"/>
        <w:ind w:firstLine="562"/>
        <w:jc w:val="center"/>
        <w:rPr>
          <w:rStyle w:val="17"/>
          <w:rFonts w:asciiTheme="minorEastAsia" w:hAnsiTheme="minorEastAsia" w:cstheme="minorEastAsia"/>
          <w:bCs/>
          <w:sz w:val="28"/>
          <w:szCs w:val="28"/>
          <w:shd w:val="clear" w:color="auto" w:fill="FFFFFF"/>
        </w:rPr>
      </w:pPr>
      <w:r>
        <w:rPr>
          <w:rStyle w:val="17"/>
          <w:rFonts w:hint="eastAsia" w:asciiTheme="minorEastAsia" w:hAnsiTheme="minorEastAsia" w:cstheme="minorEastAsia"/>
          <w:bCs/>
          <w:sz w:val="28"/>
          <w:szCs w:val="28"/>
          <w:shd w:val="clear" w:color="auto" w:fill="FFFFFF"/>
        </w:rPr>
        <w:t>项目编号：TFFB2024-01-1</w:t>
      </w:r>
    </w:p>
    <w:p>
      <w:pPr>
        <w:widowControl/>
        <w:jc w:val="left"/>
        <w:rPr>
          <w:rFonts w:asciiTheme="minorEastAsia" w:hAnsiTheme="minorEastAsia" w:cstheme="minorEastAsia"/>
          <w:kern w:val="0"/>
          <w:sz w:val="15"/>
          <w:szCs w:val="15"/>
          <w:shd w:val="clear" w:color="auto" w:fill="FFFFFF"/>
          <w:lang w:bidi="ar"/>
        </w:rPr>
      </w:pPr>
    </w:p>
    <w:p>
      <w:pPr>
        <w:widowControl/>
        <w:jc w:val="left"/>
        <w:rPr>
          <w:rFonts w:asciiTheme="minorEastAsia" w:hAnsiTheme="minorEastAsia" w:cstheme="minorEastAsia"/>
          <w:kern w:val="0"/>
          <w:sz w:val="15"/>
          <w:szCs w:val="15"/>
          <w:shd w:val="clear" w:color="auto" w:fill="FFFFFF"/>
          <w:lang w:bidi="ar"/>
        </w:rPr>
      </w:pPr>
    </w:p>
    <w:p>
      <w:pPr>
        <w:widowControl/>
        <w:jc w:val="left"/>
        <w:rPr>
          <w:rFonts w:asciiTheme="minorEastAsia" w:hAnsiTheme="minorEastAsia" w:cstheme="minorEastAsia"/>
          <w:kern w:val="0"/>
          <w:sz w:val="15"/>
          <w:szCs w:val="15"/>
          <w:shd w:val="clear" w:color="auto" w:fill="FFFFFF"/>
          <w:lang w:bidi="ar"/>
        </w:rPr>
      </w:pPr>
    </w:p>
    <w:p>
      <w:pPr>
        <w:widowControl/>
        <w:jc w:val="left"/>
        <w:rPr>
          <w:rFonts w:asciiTheme="minorEastAsia" w:hAnsiTheme="minorEastAsia" w:cstheme="minorEastAsia"/>
          <w:kern w:val="0"/>
          <w:sz w:val="15"/>
          <w:szCs w:val="15"/>
          <w:shd w:val="clear" w:color="auto" w:fill="FFFFFF"/>
          <w:lang w:bidi="ar"/>
        </w:rPr>
      </w:pPr>
    </w:p>
    <w:p>
      <w:pPr>
        <w:widowControl/>
        <w:jc w:val="left"/>
        <w:rPr>
          <w:rFonts w:asciiTheme="minorEastAsia" w:hAnsiTheme="minorEastAsia" w:cstheme="minorEastAsia"/>
        </w:rPr>
      </w:pPr>
    </w:p>
    <w:p>
      <w:pPr>
        <w:pStyle w:val="12"/>
        <w:widowControl/>
        <w:shd w:val="clear" w:color="auto" w:fill="FFFFFF"/>
        <w:spacing w:before="60" w:beforeAutospacing="0" w:after="60" w:afterAutospacing="0"/>
        <w:ind w:firstLine="442"/>
        <w:jc w:val="center"/>
        <w:rPr>
          <w:rFonts w:asciiTheme="minorEastAsia" w:hAnsiTheme="minorEastAsia" w:cstheme="minorEastAsia"/>
          <w:b/>
          <w:bCs/>
          <w:sz w:val="22"/>
          <w:szCs w:val="22"/>
          <w:shd w:val="clear" w:color="auto" w:fill="FFFFFF"/>
        </w:rPr>
      </w:pPr>
    </w:p>
    <w:p>
      <w:pPr>
        <w:pStyle w:val="12"/>
        <w:widowControl/>
        <w:shd w:val="clear" w:color="auto" w:fill="FFFFFF"/>
        <w:spacing w:before="60" w:beforeAutospacing="0" w:after="60" w:afterAutospacing="0"/>
        <w:ind w:firstLine="442"/>
        <w:jc w:val="center"/>
        <w:rPr>
          <w:rFonts w:asciiTheme="minorEastAsia" w:hAnsiTheme="minorEastAsia" w:cstheme="minorEastAsia"/>
          <w:b/>
          <w:bCs/>
          <w:sz w:val="22"/>
          <w:szCs w:val="22"/>
          <w:shd w:val="clear" w:color="auto" w:fill="FFFFFF"/>
        </w:rPr>
      </w:pPr>
    </w:p>
    <w:p>
      <w:pPr>
        <w:pStyle w:val="12"/>
        <w:widowControl/>
        <w:shd w:val="clear" w:color="auto" w:fill="FFFFFF"/>
        <w:spacing w:before="60" w:beforeAutospacing="0" w:after="60" w:afterAutospacing="0"/>
        <w:ind w:firstLine="442"/>
        <w:jc w:val="center"/>
        <w:rPr>
          <w:rFonts w:asciiTheme="minorEastAsia" w:hAnsiTheme="minorEastAsia" w:cstheme="minorEastAsia"/>
          <w:b/>
          <w:bCs/>
          <w:sz w:val="22"/>
          <w:szCs w:val="22"/>
          <w:shd w:val="clear" w:color="auto" w:fill="FFFFFF"/>
        </w:rPr>
      </w:pPr>
    </w:p>
    <w:p>
      <w:pPr>
        <w:pStyle w:val="12"/>
        <w:widowControl/>
        <w:shd w:val="clear" w:color="auto" w:fill="FFFFFF"/>
        <w:spacing w:before="60" w:beforeAutospacing="0" w:after="60" w:afterAutospacing="0"/>
        <w:ind w:firstLine="562"/>
        <w:jc w:val="center"/>
        <w:rPr>
          <w:rFonts w:asciiTheme="minorEastAsia" w:hAnsiTheme="minorEastAsia" w:cstheme="minorEastAsia"/>
          <w:b/>
          <w:bCs/>
          <w:sz w:val="28"/>
          <w:szCs w:val="28"/>
          <w:shd w:val="clear" w:color="auto" w:fill="FFFFFF"/>
        </w:rPr>
      </w:pPr>
      <w:r>
        <w:rPr>
          <w:rFonts w:hint="eastAsia" w:asciiTheme="minorEastAsia" w:hAnsiTheme="minorEastAsia" w:cstheme="minorEastAsia"/>
          <w:b/>
          <w:bCs/>
          <w:sz w:val="28"/>
          <w:szCs w:val="28"/>
          <w:shd w:val="clear" w:color="auto" w:fill="FFFFFF"/>
        </w:rPr>
        <w:t>采 购 人：天津大学福州国际联合学院</w:t>
      </w:r>
    </w:p>
    <w:p>
      <w:pPr>
        <w:pStyle w:val="12"/>
        <w:widowControl/>
        <w:shd w:val="clear" w:color="auto" w:fill="FFFFFF"/>
        <w:spacing w:before="60" w:beforeAutospacing="0" w:after="60" w:afterAutospacing="0"/>
        <w:ind w:firstLine="562"/>
        <w:jc w:val="center"/>
        <w:rPr>
          <w:rFonts w:asciiTheme="minorEastAsia" w:hAnsiTheme="minorEastAsia" w:cstheme="minorEastAsia"/>
          <w:sz w:val="28"/>
          <w:szCs w:val="28"/>
        </w:rPr>
      </w:pPr>
      <w:r>
        <w:rPr>
          <w:rFonts w:hint="eastAsia" w:asciiTheme="minorEastAsia" w:hAnsiTheme="minorEastAsia" w:cstheme="minorEastAsia"/>
          <w:b/>
          <w:bCs/>
          <w:sz w:val="28"/>
          <w:szCs w:val="28"/>
          <w:shd w:val="clear" w:color="auto" w:fill="FFFFFF"/>
        </w:rPr>
        <w:t>代理机构：福建康泰招标有限公司</w:t>
      </w:r>
    </w:p>
    <w:p>
      <w:pPr>
        <w:pStyle w:val="12"/>
        <w:widowControl/>
        <w:shd w:val="clear" w:color="auto" w:fill="FFFFFF"/>
        <w:spacing w:before="60" w:beforeAutospacing="0" w:after="60" w:afterAutospacing="0"/>
        <w:ind w:right="576" w:firstLine="562"/>
        <w:jc w:val="center"/>
        <w:rPr>
          <w:rFonts w:asciiTheme="minorEastAsia" w:hAnsiTheme="minorEastAsia" w:cstheme="minorEastAsia"/>
          <w:sz w:val="28"/>
          <w:szCs w:val="28"/>
        </w:rPr>
      </w:pPr>
      <w:r>
        <w:rPr>
          <w:rStyle w:val="17"/>
          <w:rFonts w:hint="eastAsia" w:asciiTheme="minorEastAsia" w:hAnsiTheme="minorEastAsia" w:cstheme="minorEastAsia"/>
          <w:bCs/>
          <w:sz w:val="28"/>
          <w:szCs w:val="28"/>
          <w:shd w:val="clear" w:color="auto" w:fill="FFFFFF"/>
        </w:rPr>
        <w:t>2024年1月</w:t>
      </w:r>
    </w:p>
    <w:p>
      <w:pPr>
        <w:pStyle w:val="12"/>
        <w:widowControl/>
        <w:shd w:val="clear" w:color="auto" w:fill="FFFFFF"/>
        <w:spacing w:before="60" w:beforeAutospacing="0" w:after="60" w:afterAutospacing="0"/>
        <w:ind w:firstLine="300"/>
        <w:rPr>
          <w:rFonts w:asciiTheme="minorEastAsia" w:hAnsiTheme="minorEastAsia" w:cstheme="minorEastAsia"/>
          <w:sz w:val="15"/>
          <w:szCs w:val="15"/>
        </w:rPr>
      </w:pPr>
    </w:p>
    <w:p>
      <w:pPr>
        <w:pStyle w:val="12"/>
        <w:widowControl/>
        <w:shd w:val="clear" w:color="auto" w:fill="FFFFFF"/>
        <w:spacing w:before="60" w:beforeAutospacing="0" w:after="60" w:afterAutospacing="0"/>
        <w:ind w:firstLine="300"/>
        <w:rPr>
          <w:rFonts w:asciiTheme="minorEastAsia" w:hAnsiTheme="minorEastAsia" w:cstheme="minorEastAsia"/>
          <w:sz w:val="15"/>
          <w:szCs w:val="15"/>
        </w:rPr>
      </w:pPr>
    </w:p>
    <w:p>
      <w:pPr>
        <w:pStyle w:val="12"/>
        <w:widowControl/>
        <w:shd w:val="clear" w:color="auto" w:fill="FFFFFF"/>
        <w:spacing w:before="132" w:beforeAutospacing="0" w:after="252" w:afterAutospacing="0"/>
        <w:ind w:firstLine="300"/>
        <w:jc w:val="center"/>
        <w:rPr>
          <w:rFonts w:asciiTheme="minorEastAsia" w:hAnsiTheme="minorEastAsia" w:cstheme="minorEastAsia"/>
          <w:sz w:val="15"/>
          <w:szCs w:val="15"/>
        </w:rPr>
      </w:pPr>
    </w:p>
    <w:p>
      <w:pPr>
        <w:pStyle w:val="12"/>
        <w:widowControl/>
        <w:shd w:val="clear" w:color="auto" w:fill="FFFFFF"/>
        <w:spacing w:before="132" w:beforeAutospacing="0" w:after="252" w:afterAutospacing="0"/>
        <w:ind w:firstLine="300"/>
        <w:jc w:val="center"/>
        <w:rPr>
          <w:rFonts w:asciiTheme="minorEastAsia" w:hAnsiTheme="minorEastAsia" w:cstheme="minorEastAsia"/>
          <w:sz w:val="15"/>
          <w:szCs w:val="15"/>
        </w:rPr>
      </w:pPr>
    </w:p>
    <w:p>
      <w:pPr>
        <w:pStyle w:val="12"/>
        <w:widowControl/>
        <w:shd w:val="clear" w:color="auto" w:fill="FFFFFF"/>
        <w:spacing w:before="60" w:beforeAutospacing="0" w:after="60" w:afterAutospacing="0"/>
        <w:ind w:firstLine="300"/>
        <w:rPr>
          <w:rFonts w:asciiTheme="minorEastAsia" w:hAnsiTheme="minorEastAsia" w:cstheme="minorEastAsia"/>
          <w:sz w:val="15"/>
          <w:szCs w:val="15"/>
        </w:rPr>
      </w:pPr>
    </w:p>
    <w:p>
      <w:pPr>
        <w:pStyle w:val="12"/>
        <w:widowControl/>
        <w:spacing w:before="60" w:beforeAutospacing="0" w:after="60" w:afterAutospacing="0"/>
        <w:jc w:val="center"/>
        <w:rPr>
          <w:rFonts w:asciiTheme="minorEastAsia" w:hAnsiTheme="minorEastAsia" w:cstheme="minorEastAsia"/>
        </w:rPr>
      </w:pPr>
    </w:p>
    <w:p>
      <w:pPr>
        <w:widowControl/>
        <w:jc w:val="left"/>
        <w:rPr>
          <w:rStyle w:val="17"/>
          <w:rFonts w:asciiTheme="minorEastAsia" w:hAnsiTheme="minorEastAsia" w:cstheme="minorEastAsia"/>
          <w:bCs/>
          <w:kern w:val="0"/>
          <w:sz w:val="34"/>
          <w:szCs w:val="34"/>
        </w:rPr>
      </w:pPr>
      <w:r>
        <w:rPr>
          <w:rStyle w:val="17"/>
          <w:rFonts w:hint="eastAsia" w:asciiTheme="minorEastAsia" w:hAnsiTheme="minorEastAsia" w:cstheme="minorEastAsia"/>
          <w:bCs/>
          <w:sz w:val="34"/>
          <w:szCs w:val="34"/>
        </w:rPr>
        <w:br w:type="page"/>
      </w:r>
    </w:p>
    <w:p>
      <w:pPr>
        <w:pStyle w:val="12"/>
        <w:widowControl/>
        <w:spacing w:before="60" w:beforeAutospacing="0" w:after="60" w:afterAutospacing="0"/>
        <w:ind w:firstLine="683"/>
        <w:jc w:val="center"/>
        <w:rPr>
          <w:rFonts w:asciiTheme="minorEastAsia" w:hAnsiTheme="minorEastAsia" w:cstheme="minorEastAsia"/>
        </w:rPr>
      </w:pPr>
      <w:r>
        <w:rPr>
          <w:rStyle w:val="17"/>
          <w:rFonts w:hint="eastAsia" w:asciiTheme="minorEastAsia" w:hAnsiTheme="minorEastAsia" w:cstheme="minorEastAsia"/>
          <w:bCs/>
          <w:sz w:val="34"/>
          <w:szCs w:val="34"/>
        </w:rPr>
        <w:t>第一章 采购邀请书</w:t>
      </w:r>
    </w:p>
    <w:p>
      <w:pPr>
        <w:pStyle w:val="12"/>
        <w:widowControl/>
        <w:spacing w:before="60" w:beforeAutospacing="0" w:after="60" w:afterAutospacing="0"/>
        <w:ind w:firstLine="562"/>
        <w:jc w:val="center"/>
        <w:rPr>
          <w:rFonts w:asciiTheme="minorEastAsia" w:hAnsiTheme="minorEastAsia" w:cstheme="minorEastAsia"/>
        </w:rPr>
      </w:pPr>
      <w:r>
        <w:rPr>
          <w:rStyle w:val="17"/>
          <w:rFonts w:hint="eastAsia" w:asciiTheme="minorEastAsia" w:hAnsiTheme="minorEastAsia" w:cstheme="minorEastAsia"/>
          <w:bCs/>
          <w:sz w:val="28"/>
          <w:szCs w:val="28"/>
        </w:rPr>
        <w:t>非标采购公告</w:t>
      </w:r>
    </w:p>
    <w:p>
      <w:pPr>
        <w:pStyle w:val="12"/>
        <w:widowControl/>
        <w:spacing w:before="60" w:after="60"/>
        <w:ind w:firstLine="480" w:firstLineChars="200"/>
        <w:rPr>
          <w:rFonts w:asciiTheme="minorEastAsia" w:hAnsiTheme="minorEastAsia" w:cstheme="minorEastAsia"/>
        </w:rPr>
      </w:pPr>
      <w:r>
        <w:rPr>
          <w:rFonts w:hint="eastAsia" w:asciiTheme="minorEastAsia" w:hAnsiTheme="minorEastAsia" w:cstheme="minorEastAsia"/>
          <w:u w:val="single"/>
        </w:rPr>
        <w:t>天津大学福州国际联合学院</w:t>
      </w:r>
      <w:r>
        <w:rPr>
          <w:rFonts w:hint="eastAsia" w:asciiTheme="minorEastAsia" w:hAnsiTheme="minorEastAsia" w:cstheme="minorEastAsia"/>
        </w:rPr>
        <w:t>根据《天津大学福州国际联合学院非标采购实施细则》，经相应程序确定采用</w:t>
      </w:r>
      <w:r>
        <w:rPr>
          <w:rFonts w:hint="eastAsia" w:asciiTheme="minorEastAsia" w:hAnsiTheme="minorEastAsia" w:cstheme="minorEastAsia"/>
          <w:u w:val="single"/>
        </w:rPr>
        <w:t>非标评议</w:t>
      </w:r>
      <w:r>
        <w:rPr>
          <w:rFonts w:hint="eastAsia" w:asciiTheme="minorEastAsia" w:hAnsiTheme="minorEastAsia" w:cstheme="minorEastAsia"/>
        </w:rPr>
        <w:t>方式组织</w:t>
      </w:r>
      <w:r>
        <w:rPr>
          <w:rFonts w:hint="eastAsia" w:asciiTheme="minorEastAsia" w:hAnsiTheme="minorEastAsia" w:cstheme="minorEastAsia"/>
          <w:u w:val="single"/>
        </w:rPr>
        <w:t>天津大学福州国际联合学院2024年信息化运维服务采购项目（第二次）</w:t>
      </w:r>
      <w:r>
        <w:rPr>
          <w:rFonts w:hint="eastAsia" w:asciiTheme="minorEastAsia" w:hAnsiTheme="minorEastAsia" w:cstheme="minorEastAsia"/>
        </w:rPr>
        <w:t>（以下简称本项目）的采购活动，现欢迎国内合格的供应商前来参加。</w:t>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1.项目名称：</w:t>
      </w:r>
      <w:r>
        <w:rPr>
          <w:rFonts w:hint="eastAsia" w:asciiTheme="minorEastAsia" w:hAnsiTheme="minorEastAsia" w:cstheme="minorEastAsia"/>
          <w:u w:val="single"/>
        </w:rPr>
        <w:t>天津大学福州国际联合学院2024年信息化运维服务采购项目（第二次）</w:t>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2.项目编号：</w:t>
      </w:r>
      <w:r>
        <w:rPr>
          <w:rFonts w:hint="eastAsia" w:asciiTheme="minorEastAsia" w:hAnsiTheme="minorEastAsia" w:cstheme="minorEastAsia"/>
          <w:u w:val="single"/>
        </w:rPr>
        <w:t>TFFB2024-01-1</w:t>
      </w:r>
      <w:r>
        <w:rPr>
          <w:rFonts w:hint="eastAsia" w:asciiTheme="minorEastAsia" w:hAnsiTheme="minorEastAsia" w:cstheme="minorEastAsia"/>
          <w:u w:val="single"/>
        </w:rPr>
        <w:tab/>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3.采购内容及要求：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1311"/>
        <w:gridCol w:w="3076"/>
        <w:gridCol w:w="1710"/>
        <w:gridCol w:w="1064"/>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72"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序号</w:t>
            </w:r>
          </w:p>
        </w:tc>
        <w:tc>
          <w:tcPr>
            <w:tcW w:w="769"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采购项目名称</w:t>
            </w:r>
          </w:p>
        </w:tc>
        <w:tc>
          <w:tcPr>
            <w:tcW w:w="1804"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采购需求概况</w:t>
            </w:r>
          </w:p>
        </w:tc>
        <w:tc>
          <w:tcPr>
            <w:tcW w:w="1003"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预算金额</w:t>
            </w:r>
          </w:p>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（最高限价）</w:t>
            </w:r>
          </w:p>
        </w:tc>
        <w:tc>
          <w:tcPr>
            <w:tcW w:w="624"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预计采购时间</w:t>
            </w:r>
          </w:p>
        </w:tc>
        <w:tc>
          <w:tcPr>
            <w:tcW w:w="526"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 w:type="pct"/>
            <w:tcBorders>
              <w:bottom w:val="single" w:color="auto" w:sz="4" w:space="0"/>
            </w:tcBorders>
            <w:vAlign w:val="center"/>
          </w:tcPr>
          <w:p>
            <w:pPr>
              <w:overflowPunct w:val="0"/>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769" w:type="pct"/>
            <w:tcBorders>
              <w:bottom w:val="single" w:color="auto" w:sz="4" w:space="0"/>
            </w:tcBorders>
            <w:vAlign w:val="center"/>
          </w:tcPr>
          <w:p>
            <w:pPr>
              <w:overflowPunct w:val="0"/>
              <w:rPr>
                <w:rFonts w:asciiTheme="minorEastAsia" w:hAnsiTheme="minorEastAsia" w:cstheme="minorEastAsia"/>
                <w:kern w:val="0"/>
                <w:sz w:val="24"/>
              </w:rPr>
            </w:pPr>
            <w:r>
              <w:rPr>
                <w:rFonts w:hint="eastAsia" w:asciiTheme="minorEastAsia" w:hAnsiTheme="minorEastAsia" w:cstheme="minorEastAsia"/>
                <w:sz w:val="24"/>
                <w:shd w:val="clear" w:color="auto" w:fill="FFFFFF"/>
              </w:rPr>
              <w:t>信息化运维服务采购项目</w:t>
            </w:r>
          </w:p>
        </w:tc>
        <w:tc>
          <w:tcPr>
            <w:tcW w:w="1804" w:type="pct"/>
            <w:tcBorders>
              <w:bottom w:val="single" w:color="auto" w:sz="4" w:space="0"/>
            </w:tcBorders>
            <w:vAlign w:val="center"/>
          </w:tcPr>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1.数据中心运维</w:t>
            </w:r>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2.校园网络运维</w:t>
            </w:r>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3.教室及会议场所保障</w:t>
            </w:r>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4.校区智能化系统运维</w:t>
            </w:r>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5.用户技术支持服务</w:t>
            </w:r>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6.运维体系建设服务</w:t>
            </w:r>
          </w:p>
          <w:p>
            <w:pPr>
              <w:pStyle w:val="22"/>
              <w:rPr>
                <w:rFonts w:asciiTheme="minorEastAsia" w:hAnsiTheme="minorEastAsia" w:eastAsiaTheme="minorEastAsia" w:cstheme="minorEastAsia"/>
                <w:b/>
                <w:bCs/>
              </w:rPr>
            </w:pPr>
            <w:r>
              <w:rPr>
                <w:rFonts w:hint="eastAsia" w:asciiTheme="minorEastAsia" w:hAnsiTheme="minorEastAsia" w:eastAsiaTheme="minorEastAsia" w:cstheme="minorEastAsia"/>
              </w:rPr>
              <w:t>7.IT资产调查</w:t>
            </w:r>
          </w:p>
        </w:tc>
        <w:tc>
          <w:tcPr>
            <w:tcW w:w="1003"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45万元</w:t>
            </w:r>
          </w:p>
        </w:tc>
        <w:tc>
          <w:tcPr>
            <w:tcW w:w="624" w:type="pct"/>
            <w:tcBorders>
              <w:bottom w:val="single" w:color="auto" w:sz="4" w:space="0"/>
            </w:tcBorders>
            <w:vAlign w:val="center"/>
          </w:tcPr>
          <w:p>
            <w:pPr>
              <w:overflowPunct w:val="0"/>
              <w:jc w:val="center"/>
              <w:rPr>
                <w:rFonts w:asciiTheme="minorEastAsia" w:hAnsiTheme="minorEastAsia" w:cstheme="minorEastAsia"/>
                <w:kern w:val="0"/>
                <w:sz w:val="24"/>
              </w:rPr>
            </w:pPr>
            <w:r>
              <w:rPr>
                <w:rFonts w:hint="eastAsia" w:asciiTheme="minorEastAsia" w:hAnsiTheme="minorEastAsia" w:cstheme="minorEastAsia"/>
                <w:kern w:val="0"/>
                <w:sz w:val="24"/>
              </w:rPr>
              <w:t>2024年1月</w:t>
            </w:r>
          </w:p>
        </w:tc>
        <w:tc>
          <w:tcPr>
            <w:tcW w:w="526" w:type="pct"/>
            <w:tcBorders>
              <w:bottom w:val="single" w:color="auto" w:sz="4" w:space="0"/>
            </w:tcBorders>
            <w:vAlign w:val="center"/>
          </w:tcPr>
          <w:p>
            <w:pPr>
              <w:pStyle w:val="12"/>
              <w:spacing w:before="60" w:beforeAutospacing="0" w:after="60" w:afterAutospacing="0"/>
              <w:rPr>
                <w:rFonts w:asciiTheme="minorEastAsia" w:hAnsiTheme="minorEastAsia" w:cstheme="minorEastAsia"/>
              </w:rPr>
            </w:pPr>
            <w:r>
              <w:rPr>
                <w:rFonts w:hint="eastAsia" w:asciiTheme="minorEastAsia" w:hAnsiTheme="minorEastAsia" w:cstheme="minorEastAsia"/>
              </w:rPr>
              <w:t>无</w:t>
            </w:r>
          </w:p>
        </w:tc>
      </w:tr>
    </w:tbl>
    <w:p>
      <w:pPr>
        <w:pStyle w:val="12"/>
        <w:widowControl/>
        <w:spacing w:beforeAutospacing="0" w:afterAutospacing="0"/>
        <w:ind w:firstLine="482" w:firstLineChars="200"/>
        <w:rPr>
          <w:rFonts w:asciiTheme="minorEastAsia" w:hAnsiTheme="minorEastAsia" w:cstheme="minorEastAsia"/>
          <w:b/>
          <w:bCs/>
        </w:rPr>
      </w:pPr>
      <w:r>
        <w:rPr>
          <w:rFonts w:hint="eastAsia" w:asciiTheme="minorEastAsia" w:hAnsiTheme="minorEastAsia" w:cstheme="minorEastAsia"/>
          <w:b/>
          <w:bCs/>
        </w:rPr>
        <w:t>3.1技术和服务要求（以下内容均为不允许负偏离的实质性要求）</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1、数据中心运维：数据中心机房日常巡检、维护等工作，包括UPS、服务器、弱电间设备等设施运维，以及边界安全设备的日常管理维护。</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（1）需要每月定期通告最新发现的系统安全漏洞情况和解决方案以及最新的病毒爆发情况和处理方法。</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2）每月需定期对服务范围内的网络设备、服务器操作系统、数据库系统、应用软件系统的安全策略和安全配置进行检查和测试，从中获得相关的信息、发现系统面临的威胁以及存在的安全性，对系统策略及网络系统进行优化设计，制定调整系统策略优化，网络拓扑优化、安全域规划与配置、IP规划、VLAN优化等策略，并根据实际情况调整与实施，根据操作系统安全评估及漏洞扫描、安全检测、日志分析和配置检测中发现的问题。</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（3）对服务器、网络设备、数据库系统等安全漏洞进行修补，加强安全配置、安全加固处理。</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4）运维服务期内每年开展两次漏洞扫描服务：对网络层、系统层及应用层的漏洞、开放端口及弱口令等进行扫描,针对发现的漏洞进行人工验证，出具漏洞扫描安全报告，并提供修复建议，配合进行修复整改。投标人应根据采购人要求适时增加漏洞扫描次数。</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2、校园网络运维：保障日常网络稳定运行，负责福州校区校园网光缆、汇聚设备、接入设备、交换机、集线器、路由器、防火墙、网关、配线架、网线、接插件、防雷系统等系统的监控、巡检、故障排除、维护和保养工作。</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3、教室及会议场所保障：智慧教室的终端维护报修，会务设备的日常管理维护，提供视频会议保障服务。负责校园教室多媒体设备每周巡检一次，除尘，设备故障排除，保证音视频系统正常使用；负责相关会议室音视频线路正常运行，音视频设备定期巡检，配合做好视频会议，对外活动保障服务；所有活动涉及音视频保障的维护。</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4、其他智能化系统：包括其他智能化系统包括背景音乐广播、智能照明、监控系统、门禁系统等运维。</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为学院的其它网络运营相关工作提供技术和人员支持，配合学院完成其它临时性工作。</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5、用户技术支持服务：为福州校区用户提供使用指导、疑难解答、故障排除、设备配置等各类问题。为学院的其它网络运营相关工作提供技术和人员支持，配合学院完成其它临时性工作。</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6、活动保障服务：为学院的重要活动提供网络配置、临时网络搭建、监控值守、会议设备调试等保障服务。</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7、运维体系建设服务：协助学院建立和完善运维服务体系和运维服务平台。</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8、IT资产调查：每月对采购人计算机（含机房设备）的种类、型号、物理位置、IP地址、部署情况等详细信息的资产档案进行维护，随时更新网络拓扑，统计信息点分布以及各硬件设备和软件系统的数量、拓扑位置、用途等信息。</w:t>
      </w:r>
    </w:p>
    <w:p>
      <w:pPr>
        <w:pStyle w:val="12"/>
        <w:widowControl/>
        <w:spacing w:beforeAutospacing="0" w:afterAutospacing="0"/>
        <w:ind w:firstLine="482" w:firstLineChars="200"/>
        <w:rPr>
          <w:rFonts w:asciiTheme="minorEastAsia" w:hAnsiTheme="minorEastAsia" w:cstheme="minorEastAsia"/>
          <w:b/>
          <w:bCs/>
        </w:rPr>
      </w:pPr>
      <w:r>
        <w:rPr>
          <w:rFonts w:hint="eastAsia" w:asciiTheme="minorEastAsia" w:hAnsiTheme="minorEastAsia" w:cstheme="minorEastAsia"/>
          <w:b/>
          <w:bCs/>
        </w:rPr>
        <w:t>3.2商务要求（以下内容均为不允许负偏离的实质性要求）</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1、服务期限：1年。</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2、交货地点：天津大学福州校区</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3、交货条件：满足合同及采购文件要求</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4、是否邀请投标人验收：不邀请投标人验收</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5、履约验收方式：</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（1）合同签订后5个工作日内，成交供应商提交运维方案。</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（2）2024年6月20日前，成交供应商提供中期运维服务报告。</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（3）2024年12月20日前，成交供应商按合同约定优质完成服务内容。经采购人组织终验会议评审通过。</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6、合同支付方式：</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（1）合同签订后5个工作日内，成交供应商提交运维方案，且成交供应商提供正规发票，达到付款条件起10日内，支付合同总金额的30.00%；</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（2）2024年6月20日前，成交供应商提供中期运维服务报告后，且成交供应商提供正规发票，达到付款条件起10日内，支付合同总金额的40.00%；</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（3）2024年12月20日前，成交供应商按合同约定优质完成服务内容，经采购人组织终验会议评审通过后，成交供应商提供正规发票，达到付款条件起10日内，支付合同总金额的30.00%。</w:t>
      </w:r>
    </w:p>
    <w:p>
      <w:pPr>
        <w:pStyle w:val="12"/>
        <w:widowControl/>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rPr>
        <w:t>7、其他商务要求：</w:t>
      </w:r>
    </w:p>
    <w:p>
      <w:pPr>
        <w:pStyle w:val="34"/>
        <w:rPr>
          <w:rFonts w:asciiTheme="minorEastAsia" w:hAnsiTheme="minorEastAsia" w:cstheme="minorEastAsia"/>
          <w:sz w:val="24"/>
        </w:rPr>
      </w:pPr>
      <w:r>
        <w:rPr>
          <w:rFonts w:hint="eastAsia" w:asciiTheme="minorEastAsia" w:hAnsiTheme="minorEastAsia" w:cstheme="minorEastAsia"/>
          <w:sz w:val="24"/>
        </w:rPr>
        <w:t>（1）驻场人数不少于2人，其中包括1名项目经理、1名技术工程师。驻场人员不得兼任本项目外的其它工作。</w:t>
      </w:r>
    </w:p>
    <w:p>
      <w:pPr>
        <w:pStyle w:val="34"/>
        <w:rPr>
          <w:rFonts w:asciiTheme="minorEastAsia" w:hAnsiTheme="minorEastAsia" w:cstheme="minorEastAsia"/>
          <w:sz w:val="24"/>
        </w:rPr>
      </w:pPr>
      <w:r>
        <w:rPr>
          <w:rFonts w:hint="eastAsia" w:asciiTheme="minorEastAsia" w:hAnsiTheme="minorEastAsia" w:cstheme="minorEastAsia"/>
          <w:sz w:val="24"/>
        </w:rPr>
        <w:t>（2）部件更换：招标所要求的运维内容单件次部件金额在1000元以内的，由成交供应商负责并承担费用；单件次部件金额在1000元（含1000元）以上的，由学院负责。</w:t>
      </w:r>
    </w:p>
    <w:p>
      <w:pPr>
        <w:pStyle w:val="34"/>
        <w:rPr>
          <w:rFonts w:asciiTheme="minorEastAsia" w:hAnsiTheme="minorEastAsia" w:cstheme="minorEastAsia"/>
          <w:sz w:val="24"/>
        </w:rPr>
      </w:pPr>
      <w:r>
        <w:rPr>
          <w:rFonts w:hint="eastAsia" w:asciiTheme="minorEastAsia" w:hAnsiTheme="minorEastAsia" w:cstheme="minorEastAsia"/>
          <w:sz w:val="24"/>
        </w:rPr>
        <w:t>（3）编制详细的运维工作计划、工作制度、岗位职责、服务流程和服务规范，建立考核制度和服务质量监督管理制度。</w:t>
      </w:r>
    </w:p>
    <w:p>
      <w:pPr>
        <w:pStyle w:val="34"/>
        <w:rPr>
          <w:rFonts w:asciiTheme="minorEastAsia" w:hAnsiTheme="minorEastAsia" w:cstheme="minorEastAsia"/>
          <w:sz w:val="24"/>
        </w:rPr>
      </w:pPr>
      <w:r>
        <w:rPr>
          <w:rFonts w:hint="eastAsia" w:asciiTheme="minorEastAsia" w:hAnsiTheme="minorEastAsia" w:cstheme="minorEastAsia"/>
          <w:sz w:val="24"/>
        </w:rPr>
        <w:t>（4）用户报修做到100%受理，并按级别响应：</w:t>
      </w:r>
    </w:p>
    <w:p>
      <w:pPr>
        <w:pStyle w:val="12"/>
        <w:widowControl/>
        <w:spacing w:beforeAutospacing="0" w:afterAutospacing="0"/>
        <w:ind w:firstLine="480"/>
        <w:rPr>
          <w:rFonts w:asciiTheme="minorEastAsia" w:hAnsiTheme="minorEastAsia" w:cstheme="minorEastAsia"/>
        </w:rPr>
      </w:pPr>
      <w:r>
        <w:rPr>
          <w:rFonts w:hint="eastAsia" w:asciiTheme="minorEastAsia" w:hAnsiTheme="minorEastAsia" w:cstheme="minorEastAsia"/>
          <w:color w:val="000000"/>
          <w:shd w:val="clear" w:color="auto" w:fill="FFFFFF"/>
        </w:rPr>
        <w:t>运营团队驻点工程师的提供接入网络运维服务时间：</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710"/>
        <w:gridCol w:w="2903"/>
        <w:gridCol w:w="29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1591"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服务项目</w:t>
            </w:r>
          </w:p>
        </w:tc>
        <w:tc>
          <w:tcPr>
            <w:tcW w:w="1704"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工作日服务时间</w:t>
            </w:r>
          </w:p>
        </w:tc>
        <w:tc>
          <w:tcPr>
            <w:tcW w:w="1704"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非工作日服务时间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159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现场服务</w:t>
            </w:r>
          </w:p>
        </w:tc>
        <w:tc>
          <w:tcPr>
            <w:tcW w:w="1704" w:type="pct"/>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8:30-17:30</w:t>
            </w:r>
          </w:p>
        </w:tc>
        <w:tc>
          <w:tcPr>
            <w:tcW w:w="1704" w:type="pct"/>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8:30-17:30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1591"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电话热线服务</w:t>
            </w:r>
          </w:p>
        </w:tc>
        <w:tc>
          <w:tcPr>
            <w:tcW w:w="1704" w:type="pct"/>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0:00-23:59</w:t>
            </w:r>
          </w:p>
        </w:tc>
        <w:tc>
          <w:tcPr>
            <w:tcW w:w="1704" w:type="pct"/>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0:00-23:59</w:t>
            </w:r>
          </w:p>
        </w:tc>
      </w:tr>
    </w:tbl>
    <w:p>
      <w:pPr>
        <w:pStyle w:val="12"/>
        <w:widowControl/>
        <w:spacing w:beforeAutospacing="0" w:afterAutospacing="0"/>
        <w:ind w:firstLine="480" w:firstLineChars="200"/>
        <w:rPr>
          <w:rFonts w:asciiTheme="minorEastAsia" w:hAnsiTheme="minorEastAsia" w:cstheme="minorEastAsia"/>
          <w:sz w:val="32"/>
          <w:szCs w:val="32"/>
        </w:rPr>
      </w:pPr>
      <w:r>
        <w:rPr>
          <w:rFonts w:hint="eastAsia" w:asciiTheme="minorEastAsia" w:hAnsiTheme="minorEastAsia" w:cstheme="minorEastAsia"/>
          <w:color w:val="000000"/>
          <w:shd w:val="clear" w:color="auto" w:fill="FFFFFF"/>
        </w:rPr>
        <w:t>运维技术人员人员应服从学院的节假日工作安排，安排专人值班，保障网络接入的正常运行，并按校方要求无偿加班值班。</w:t>
      </w:r>
    </w:p>
    <w:p>
      <w:pPr>
        <w:pStyle w:val="12"/>
        <w:widowControl/>
        <w:spacing w:beforeAutospacing="0" w:afterAutospacing="0"/>
        <w:ind w:firstLine="480" w:firstLineChars="200"/>
        <w:rPr>
          <w:rFonts w:asciiTheme="minorEastAsia" w:hAnsiTheme="minorEastAsia" w:cstheme="minorEastAsia"/>
          <w:sz w:val="32"/>
          <w:szCs w:val="32"/>
        </w:rPr>
      </w:pPr>
      <w:r>
        <w:rPr>
          <w:rFonts w:hint="eastAsia" w:asciiTheme="minorEastAsia" w:hAnsiTheme="minorEastAsia" w:cstheme="minorEastAsia"/>
          <w:color w:val="000000"/>
          <w:shd w:val="clear" w:color="auto" w:fill="FFFFFF"/>
        </w:rPr>
        <w:t>故障处理时间表：</w:t>
      </w:r>
    </w:p>
    <w:tbl>
      <w:tblPr>
        <w:tblStyle w:val="14"/>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752"/>
        <w:gridCol w:w="3601"/>
        <w:gridCol w:w="31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 w:hRule="atLeast"/>
        </w:trPr>
        <w:tc>
          <w:tcPr>
            <w:tcW w:w="1029"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故障处理服务</w:t>
            </w:r>
          </w:p>
        </w:tc>
        <w:tc>
          <w:tcPr>
            <w:tcW w:w="2114"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故障联系时间</w:t>
            </w:r>
          </w:p>
        </w:tc>
        <w:tc>
          <w:tcPr>
            <w:tcW w:w="1857"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10分钟内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 w:hRule="atLeast"/>
        </w:trPr>
        <w:tc>
          <w:tcPr>
            <w:tcW w:w="1029"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asciiTheme="minorEastAsia" w:hAnsiTheme="minorEastAsia" w:cstheme="minorEastAsia"/>
                <w:sz w:val="24"/>
              </w:rPr>
            </w:pPr>
          </w:p>
        </w:tc>
        <w:tc>
          <w:tcPr>
            <w:tcW w:w="211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抵达现场时间</w:t>
            </w:r>
          </w:p>
        </w:tc>
        <w:tc>
          <w:tcPr>
            <w:tcW w:w="1857"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1小时内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 w:hRule="atLeast"/>
        </w:trPr>
        <w:tc>
          <w:tcPr>
            <w:tcW w:w="1029"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asciiTheme="minorEastAsia" w:hAnsiTheme="minorEastAsia" w:cstheme="minorEastAsia"/>
                <w:sz w:val="24"/>
              </w:rPr>
            </w:pPr>
          </w:p>
        </w:tc>
        <w:tc>
          <w:tcPr>
            <w:tcW w:w="2114" w:type="pct"/>
            <w:tcBorders>
              <w:top w:val="nil"/>
              <w:left w:val="nil"/>
              <w:bottom w:val="nil"/>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故障确认时间</w:t>
            </w:r>
          </w:p>
        </w:tc>
        <w:tc>
          <w:tcPr>
            <w:tcW w:w="1857"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2小时内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 w:hRule="atLeast"/>
        </w:trPr>
        <w:tc>
          <w:tcPr>
            <w:tcW w:w="1029"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rPr>
                <w:rFonts w:asciiTheme="minorEastAsia" w:hAnsiTheme="minorEastAsia" w:cstheme="minorEastAsia"/>
                <w:sz w:val="24"/>
              </w:rPr>
            </w:pPr>
          </w:p>
        </w:tc>
        <w:tc>
          <w:tcPr>
            <w:tcW w:w="2114"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故障恢复时间（无设备损坏）</w:t>
            </w:r>
          </w:p>
        </w:tc>
        <w:tc>
          <w:tcPr>
            <w:tcW w:w="1857"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4小时内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 w:hRule="atLeast"/>
        </w:trPr>
        <w:tc>
          <w:tcPr>
            <w:tcW w:w="1029"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rPr>
                <w:rFonts w:asciiTheme="minorEastAsia" w:hAnsiTheme="minorEastAsia" w:cstheme="minorEastAsia"/>
              </w:rPr>
            </w:pPr>
            <w:r>
              <w:rPr>
                <w:rFonts w:hint="eastAsia" w:asciiTheme="minorEastAsia" w:hAnsiTheme="minorEastAsia" w:cstheme="minorEastAsia"/>
                <w:color w:val="000000"/>
                <w:sz w:val="21"/>
                <w:szCs w:val="21"/>
              </w:rPr>
              <w:t>设备返修服务</w:t>
            </w:r>
          </w:p>
        </w:tc>
        <w:tc>
          <w:tcPr>
            <w:tcW w:w="2114"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设备返修</w:t>
            </w:r>
          </w:p>
        </w:tc>
        <w:tc>
          <w:tcPr>
            <w:tcW w:w="1857"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12"/>
              <w:widowControl/>
              <w:spacing w:beforeAutospacing="0" w:afterAutospacing="0" w:line="360" w:lineRule="atLeast"/>
              <w:ind w:firstLine="420"/>
              <w:jc w:val="center"/>
              <w:rPr>
                <w:rFonts w:asciiTheme="minorEastAsia" w:hAnsiTheme="minorEastAsia" w:cstheme="minorEastAsia"/>
              </w:rPr>
            </w:pPr>
            <w:r>
              <w:rPr>
                <w:rFonts w:hint="eastAsia" w:asciiTheme="minorEastAsia" w:hAnsiTheme="minorEastAsia" w:cstheme="minorEastAsia"/>
                <w:color w:val="000000"/>
                <w:sz w:val="21"/>
                <w:szCs w:val="21"/>
              </w:rPr>
              <w:t>按实际返修时间</w:t>
            </w:r>
          </w:p>
        </w:tc>
      </w:tr>
    </w:tbl>
    <w:p>
      <w:pPr>
        <w:pStyle w:val="12"/>
        <w:widowControl/>
        <w:spacing w:beforeAutospacing="0" w:afterAutospacing="0"/>
        <w:ind w:firstLine="482" w:firstLineChars="200"/>
        <w:rPr>
          <w:rFonts w:asciiTheme="minorEastAsia" w:hAnsiTheme="minorEastAsia" w:cstheme="minorEastAsia"/>
          <w:b/>
          <w:bCs/>
        </w:rPr>
      </w:pPr>
    </w:p>
    <w:p>
      <w:pPr>
        <w:pStyle w:val="12"/>
        <w:widowControl/>
        <w:spacing w:beforeAutospacing="0" w:afterAutospacing="0"/>
        <w:ind w:firstLine="482" w:firstLineChars="200"/>
        <w:rPr>
          <w:rFonts w:asciiTheme="minorEastAsia" w:hAnsiTheme="minorEastAsia" w:cstheme="minorEastAsia"/>
          <w:b/>
          <w:bCs/>
        </w:rPr>
      </w:pPr>
      <w:r>
        <w:rPr>
          <w:rFonts w:hint="eastAsia" w:asciiTheme="minorEastAsia" w:hAnsiTheme="minorEastAsia" w:cstheme="minorEastAsia"/>
          <w:b/>
          <w:bCs/>
        </w:rPr>
        <w:t>3.3运维清单（以下内容均为不允许负偏离的实质性要求）</w:t>
      </w:r>
    </w:p>
    <w:tbl>
      <w:tblPr>
        <w:tblStyle w:val="14"/>
        <w:tblW w:w="5003" w:type="pct"/>
        <w:tblInd w:w="-5" w:type="dxa"/>
        <w:tblLayout w:type="fixed"/>
        <w:tblCellMar>
          <w:top w:w="0" w:type="dxa"/>
          <w:left w:w="108" w:type="dxa"/>
          <w:bottom w:w="0" w:type="dxa"/>
          <w:right w:w="108" w:type="dxa"/>
        </w:tblCellMar>
      </w:tblPr>
      <w:tblGrid>
        <w:gridCol w:w="556"/>
        <w:gridCol w:w="1774"/>
        <w:gridCol w:w="4259"/>
        <w:gridCol w:w="556"/>
        <w:gridCol w:w="1383"/>
      </w:tblGrid>
      <w:tr>
        <w:trPr>
          <w:trHeight w:val="20" w:hRule="atLeast"/>
          <w:tblHeader/>
        </w:trPr>
        <w:tc>
          <w:tcPr>
            <w:tcW w:w="3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b/>
                <w:bCs/>
                <w:color w:val="000000"/>
                <w:sz w:val="22"/>
                <w:szCs w:val="22"/>
              </w:rPr>
            </w:pPr>
            <w:r>
              <w:rPr>
                <w:rStyle w:val="35"/>
                <w:rFonts w:asciiTheme="minorEastAsia" w:hAnsiTheme="minorEastAsia" w:eastAsiaTheme="minorEastAsia" w:cstheme="minorEastAsia"/>
                <w:b/>
                <w:bCs/>
                <w:lang w:bidi="ar"/>
              </w:rPr>
              <w:t>序号</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22"/>
                <w:szCs w:val="22"/>
              </w:rPr>
            </w:pPr>
            <w:r>
              <w:rPr>
                <w:rStyle w:val="35"/>
                <w:rFonts w:asciiTheme="minorEastAsia" w:hAnsiTheme="minorEastAsia" w:eastAsiaTheme="minorEastAsia" w:cstheme="minorEastAsia"/>
                <w:b/>
                <w:bCs/>
                <w:lang w:bidi="ar"/>
              </w:rPr>
              <w:t>系统名称</w:t>
            </w: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b/>
                <w:bCs/>
                <w:color w:val="000000"/>
                <w:sz w:val="22"/>
                <w:szCs w:val="22"/>
              </w:rPr>
            </w:pPr>
            <w:r>
              <w:rPr>
                <w:rStyle w:val="35"/>
                <w:rFonts w:asciiTheme="minorEastAsia" w:hAnsiTheme="minorEastAsia" w:eastAsiaTheme="minorEastAsia" w:cstheme="minorEastAsia"/>
                <w:b/>
                <w:bCs/>
                <w:lang w:bidi="ar"/>
              </w:rPr>
              <w:t>设备分布</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bCs/>
                <w:color w:val="000000"/>
                <w:sz w:val="22"/>
                <w:szCs w:val="22"/>
              </w:rPr>
            </w:pPr>
            <w:r>
              <w:rPr>
                <w:rStyle w:val="35"/>
                <w:rFonts w:asciiTheme="minorEastAsia" w:hAnsiTheme="minorEastAsia" w:eastAsiaTheme="minorEastAsia" w:cstheme="minorEastAsia"/>
                <w:b/>
                <w:bCs/>
                <w:lang w:bidi="ar"/>
              </w:rPr>
              <w:t>单位</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b/>
                <w:bCs/>
                <w:color w:val="000000"/>
                <w:sz w:val="22"/>
                <w:szCs w:val="22"/>
              </w:rPr>
            </w:pPr>
            <w:r>
              <w:rPr>
                <w:rStyle w:val="35"/>
                <w:rFonts w:asciiTheme="minorEastAsia" w:hAnsiTheme="minorEastAsia" w:eastAsiaTheme="minorEastAsia" w:cstheme="minorEastAsia"/>
                <w:b/>
                <w:bCs/>
                <w:lang w:bidi="ar"/>
              </w:rPr>
              <w:t>设备统计总数量</w:t>
            </w:r>
          </w:p>
        </w:tc>
      </w:tr>
      <w:tr>
        <w:tblPrEx>
          <w:tblCellMar>
            <w:top w:w="0" w:type="dxa"/>
            <w:left w:w="108" w:type="dxa"/>
            <w:bottom w:w="0" w:type="dxa"/>
            <w:right w:w="108" w:type="dxa"/>
          </w:tblCellMar>
        </w:tblPrEx>
        <w:trPr>
          <w:trHeight w:val="20" w:hRule="atLeast"/>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1</w:t>
            </w:r>
          </w:p>
        </w:tc>
        <w:tc>
          <w:tcPr>
            <w:tcW w:w="10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数据中心运维设备</w:t>
            </w: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网络核心交换设备、网络安全设备、服务器设备（核心交换机、防火墙、服务器，应用系统硬件主机）</w:t>
            </w:r>
          </w:p>
        </w:tc>
        <w:tc>
          <w:tcPr>
            <w:tcW w:w="325"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套</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29</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边界安全及审计检测设备（防火墙、入侵检测、审计等）</w:t>
            </w:r>
          </w:p>
        </w:tc>
        <w:tc>
          <w:tcPr>
            <w:tcW w:w="325"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套</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9</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中间机房环境系统设备</w:t>
            </w:r>
          </w:p>
        </w:tc>
        <w:tc>
          <w:tcPr>
            <w:tcW w:w="325"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套</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1</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6"/>
                <w:rFonts w:hint="eastAsia" w:asciiTheme="minorEastAsia" w:hAnsiTheme="minorEastAsia" w:eastAsiaTheme="minorEastAsia" w:cstheme="minorEastAsia"/>
                <w:lang w:bidi="ar"/>
              </w:rPr>
              <w:t>UPS</w:t>
            </w:r>
            <w:r>
              <w:rPr>
                <w:rStyle w:val="35"/>
                <w:rFonts w:asciiTheme="minorEastAsia" w:hAnsiTheme="minorEastAsia" w:eastAsiaTheme="minorEastAsia" w:cstheme="minorEastAsia"/>
                <w:lang w:bidi="ar"/>
              </w:rPr>
              <w:t>系统设备</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套</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26</w:t>
            </w:r>
          </w:p>
        </w:tc>
      </w:tr>
      <w:tr>
        <w:tblPrEx>
          <w:tblCellMar>
            <w:top w:w="0" w:type="dxa"/>
            <w:left w:w="108" w:type="dxa"/>
            <w:bottom w:w="0" w:type="dxa"/>
            <w:right w:w="108" w:type="dxa"/>
          </w:tblCellMar>
        </w:tblPrEx>
        <w:trPr>
          <w:trHeight w:val="20" w:hRule="atLeast"/>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w:t>
            </w:r>
          </w:p>
        </w:tc>
        <w:tc>
          <w:tcPr>
            <w:tcW w:w="10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教学办公区网络及桌面终端运维服务</w:t>
            </w: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办公区电脑终端设备</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50</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打印机、扫描仪、读卡器，语音设备等</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20</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报告厅设备及会议保障（预计5次重大会议）</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套</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1</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普通教室（智慧黑板）</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间</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6</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专业录播教室</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间</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信息发布、查询，展示设备</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90</w:t>
            </w:r>
          </w:p>
        </w:tc>
      </w:tr>
      <w:tr>
        <w:tblPrEx>
          <w:tblCellMar>
            <w:top w:w="0" w:type="dxa"/>
            <w:left w:w="108" w:type="dxa"/>
            <w:bottom w:w="0" w:type="dxa"/>
            <w:right w:w="108" w:type="dxa"/>
          </w:tblCellMar>
        </w:tblPrEx>
        <w:trPr>
          <w:trHeight w:val="20" w:hRule="atLeast"/>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3</w:t>
            </w:r>
          </w:p>
        </w:tc>
        <w:tc>
          <w:tcPr>
            <w:tcW w:w="10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其他网络设备(含宿舍区、实验楼等）</w:t>
            </w: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校园</w:t>
            </w:r>
            <w:r>
              <w:rPr>
                <w:rStyle w:val="36"/>
                <w:rFonts w:hint="eastAsia" w:asciiTheme="minorEastAsia" w:hAnsiTheme="minorEastAsia" w:eastAsiaTheme="minorEastAsia" w:cstheme="minorEastAsia"/>
                <w:lang w:bidi="ar"/>
              </w:rPr>
              <w:t>AP</w:t>
            </w:r>
            <w:r>
              <w:rPr>
                <w:rStyle w:val="35"/>
                <w:rFonts w:asciiTheme="minorEastAsia" w:hAnsiTheme="minorEastAsia" w:eastAsiaTheme="minorEastAsia" w:cstheme="minorEastAsia"/>
                <w:lang w:bidi="ar"/>
              </w:rPr>
              <w:t>覆盖数量</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点</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974</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6"/>
                <w:rFonts w:hint="eastAsia" w:asciiTheme="minorEastAsia" w:hAnsiTheme="minorEastAsia" w:eastAsiaTheme="minorEastAsia" w:cstheme="minorEastAsia"/>
                <w:lang w:bidi="ar"/>
              </w:rPr>
              <w:t>ONU</w:t>
            </w:r>
            <w:r>
              <w:rPr>
                <w:rStyle w:val="35"/>
                <w:rFonts w:asciiTheme="minorEastAsia" w:hAnsiTheme="minorEastAsia" w:eastAsiaTheme="minorEastAsia" w:cstheme="minorEastAsia"/>
                <w:lang w:bidi="ar"/>
              </w:rPr>
              <w:t>、分光器、物联网插卡等</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2057</w:t>
            </w:r>
          </w:p>
        </w:tc>
      </w:tr>
      <w:tr>
        <w:tblPrEx>
          <w:tblCellMar>
            <w:top w:w="0" w:type="dxa"/>
            <w:left w:w="108" w:type="dxa"/>
            <w:bottom w:w="0" w:type="dxa"/>
            <w:right w:w="108" w:type="dxa"/>
          </w:tblCellMar>
        </w:tblPrEx>
        <w:trPr>
          <w:trHeight w:val="20" w:hRule="atLeast"/>
        </w:trPr>
        <w:tc>
          <w:tcPr>
            <w:tcW w:w="3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4</w:t>
            </w:r>
          </w:p>
        </w:tc>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监控摄像机覆盖运维</w:t>
            </w: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普通摄像机</w:t>
            </w:r>
            <w:r>
              <w:rPr>
                <w:rStyle w:val="36"/>
                <w:rFonts w:hint="eastAsia" w:asciiTheme="minorEastAsia" w:hAnsiTheme="minorEastAsia" w:eastAsiaTheme="minorEastAsia" w:cstheme="minorEastAsia"/>
                <w:lang w:bidi="ar"/>
              </w:rPr>
              <w:t>+</w:t>
            </w:r>
            <w:r>
              <w:rPr>
                <w:rStyle w:val="35"/>
                <w:rFonts w:asciiTheme="minorEastAsia" w:hAnsiTheme="minorEastAsia" w:eastAsiaTheme="minorEastAsia" w:cstheme="minorEastAsia"/>
                <w:lang w:bidi="ar"/>
              </w:rPr>
              <w:t>专业摄像机</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1500</w:t>
            </w:r>
          </w:p>
        </w:tc>
      </w:tr>
      <w:tr>
        <w:tblPrEx>
          <w:tblCellMar>
            <w:top w:w="0" w:type="dxa"/>
            <w:left w:w="108" w:type="dxa"/>
            <w:bottom w:w="0" w:type="dxa"/>
            <w:right w:w="108" w:type="dxa"/>
          </w:tblCellMar>
        </w:tblPrEx>
        <w:trPr>
          <w:trHeight w:val="20" w:hRule="atLeast"/>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5</w:t>
            </w:r>
          </w:p>
        </w:tc>
        <w:tc>
          <w:tcPr>
            <w:tcW w:w="10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门禁系统</w:t>
            </w: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智能门锁（宿舍</w:t>
            </w:r>
            <w:r>
              <w:rPr>
                <w:rStyle w:val="36"/>
                <w:rFonts w:hint="eastAsia" w:asciiTheme="minorEastAsia" w:hAnsiTheme="minorEastAsia" w:eastAsiaTheme="minorEastAsia" w:cstheme="minorEastAsia"/>
                <w:lang w:bidi="ar"/>
              </w:rPr>
              <w:t>A</w:t>
            </w:r>
            <w:r>
              <w:rPr>
                <w:rStyle w:val="35"/>
                <w:rFonts w:asciiTheme="minorEastAsia" w:hAnsiTheme="minorEastAsia" w:eastAsiaTheme="minorEastAsia" w:cstheme="minorEastAsia"/>
                <w:lang w:bidi="ar"/>
              </w:rPr>
              <w:t>：</w:t>
            </w:r>
            <w:r>
              <w:rPr>
                <w:rStyle w:val="36"/>
                <w:rFonts w:hint="eastAsia" w:asciiTheme="minorEastAsia" w:hAnsiTheme="minorEastAsia" w:eastAsiaTheme="minorEastAsia" w:cstheme="minorEastAsia"/>
                <w:lang w:bidi="ar"/>
              </w:rPr>
              <w:t>450</w:t>
            </w:r>
            <w:r>
              <w:rPr>
                <w:rStyle w:val="35"/>
                <w:rFonts w:asciiTheme="minorEastAsia" w:hAnsiTheme="minorEastAsia" w:eastAsiaTheme="minorEastAsia" w:cstheme="minorEastAsia"/>
                <w:lang w:bidi="ar"/>
              </w:rPr>
              <w:t>，宿舍</w:t>
            </w:r>
            <w:r>
              <w:rPr>
                <w:rStyle w:val="36"/>
                <w:rFonts w:hint="eastAsia" w:asciiTheme="minorEastAsia" w:hAnsiTheme="minorEastAsia" w:eastAsiaTheme="minorEastAsia" w:cstheme="minorEastAsia"/>
                <w:lang w:bidi="ar"/>
              </w:rPr>
              <w:t>B</w:t>
            </w:r>
            <w:r>
              <w:rPr>
                <w:rStyle w:val="35"/>
                <w:rFonts w:asciiTheme="minorEastAsia" w:hAnsiTheme="minorEastAsia" w:eastAsiaTheme="minorEastAsia" w:cstheme="minorEastAsia"/>
                <w:lang w:bidi="ar"/>
              </w:rPr>
              <w:t>：</w:t>
            </w:r>
            <w:r>
              <w:rPr>
                <w:rStyle w:val="36"/>
                <w:rFonts w:hint="eastAsia" w:asciiTheme="minorEastAsia" w:hAnsiTheme="minorEastAsia" w:eastAsiaTheme="minorEastAsia" w:cstheme="minorEastAsia"/>
                <w:lang w:bidi="ar"/>
              </w:rPr>
              <w:t>450</w:t>
            </w:r>
            <w:r>
              <w:rPr>
                <w:rStyle w:val="35"/>
                <w:rFonts w:asciiTheme="minorEastAsia" w:hAnsiTheme="minorEastAsia" w:eastAsiaTheme="minorEastAsia" w:cstheme="minorEastAsia"/>
                <w:lang w:bidi="ar"/>
              </w:rPr>
              <w:t>，教学楼：</w:t>
            </w:r>
            <w:r>
              <w:rPr>
                <w:rStyle w:val="36"/>
                <w:rFonts w:hint="eastAsia" w:asciiTheme="minorEastAsia" w:hAnsiTheme="minorEastAsia" w:eastAsiaTheme="minorEastAsia" w:cstheme="minorEastAsia"/>
                <w:lang w:bidi="ar"/>
              </w:rPr>
              <w:t>90</w:t>
            </w:r>
            <w:r>
              <w:rPr>
                <w:rStyle w:val="35"/>
                <w:rFonts w:asciiTheme="minorEastAsia" w:hAnsiTheme="minorEastAsia" w:eastAsiaTheme="minorEastAsia" w:cstheme="minorEastAsia"/>
                <w:lang w:bidi="ar"/>
              </w:rPr>
              <w:t>，实验楼：</w:t>
            </w:r>
            <w:r>
              <w:rPr>
                <w:rStyle w:val="36"/>
                <w:rFonts w:hint="eastAsia" w:asciiTheme="minorEastAsia" w:hAnsiTheme="minorEastAsia" w:eastAsiaTheme="minorEastAsia" w:cstheme="minorEastAsia"/>
                <w:lang w:bidi="ar"/>
              </w:rPr>
              <w:t>90</w:t>
            </w:r>
            <w:r>
              <w:rPr>
                <w:rStyle w:val="35"/>
                <w:rFonts w:asciiTheme="minorEastAsia" w:hAnsiTheme="minorEastAsia" w:eastAsiaTheme="minorEastAsia" w:cstheme="minorEastAsia"/>
                <w:lang w:bidi="ar"/>
              </w:rPr>
              <w:t>）</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1100</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人脸识别设备</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台</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700</w:t>
            </w:r>
          </w:p>
        </w:tc>
      </w:tr>
      <w:tr>
        <w:tblPrEx>
          <w:tblCellMar>
            <w:top w:w="0" w:type="dxa"/>
            <w:left w:w="108" w:type="dxa"/>
            <w:bottom w:w="0" w:type="dxa"/>
            <w:right w:w="108" w:type="dxa"/>
          </w:tblCellMar>
        </w:tblPrEx>
        <w:trPr>
          <w:trHeight w:val="20" w:hRule="atLeast"/>
        </w:trPr>
        <w:tc>
          <w:tcPr>
            <w:tcW w:w="32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6</w:t>
            </w:r>
          </w:p>
        </w:tc>
        <w:tc>
          <w:tcPr>
            <w:tcW w:w="10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智能化弱电设备</w:t>
            </w: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背景音乐广播设备</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点</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250</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智能照明、建筑设备监控</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节点</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200</w:t>
            </w:r>
          </w:p>
        </w:tc>
      </w:tr>
      <w:tr>
        <w:tblPrEx>
          <w:tblCellMar>
            <w:top w:w="0" w:type="dxa"/>
            <w:left w:w="108" w:type="dxa"/>
            <w:bottom w:w="0" w:type="dxa"/>
            <w:right w:w="108" w:type="dxa"/>
          </w:tblCellMar>
        </w:tblPrEx>
        <w:trPr>
          <w:trHeight w:val="20" w:hRule="atLeast"/>
        </w:trPr>
        <w:tc>
          <w:tcPr>
            <w:tcW w:w="32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cstheme="minorEastAsia"/>
                <w:color w:val="000000"/>
                <w:sz w:val="22"/>
                <w:szCs w:val="22"/>
              </w:rPr>
            </w:pPr>
          </w:p>
        </w:tc>
        <w:tc>
          <w:tcPr>
            <w:tcW w:w="10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sz w:val="22"/>
                <w:szCs w:val="22"/>
              </w:rPr>
            </w:pPr>
          </w:p>
        </w:tc>
        <w:tc>
          <w:tcPr>
            <w:tcW w:w="249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其他子系统设备（五方通话、入侵报警、电子巡更等）</w:t>
            </w:r>
          </w:p>
        </w:tc>
        <w:tc>
          <w:tcPr>
            <w:tcW w:w="3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Style w:val="35"/>
                <w:rFonts w:asciiTheme="minorEastAsia" w:hAnsiTheme="minorEastAsia" w:eastAsiaTheme="minorEastAsia" w:cstheme="minorEastAsia"/>
                <w:lang w:bidi="ar"/>
              </w:rPr>
              <w:t>套</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3</w:t>
            </w:r>
          </w:p>
        </w:tc>
      </w:tr>
      <w:tr>
        <w:tblPrEx>
          <w:tblCellMar>
            <w:top w:w="0" w:type="dxa"/>
            <w:left w:w="108" w:type="dxa"/>
            <w:bottom w:w="0" w:type="dxa"/>
            <w:right w:w="108" w:type="dxa"/>
          </w:tblCellMar>
        </w:tblPrEx>
        <w:trPr>
          <w:trHeight w:val="20" w:hRule="atLeast"/>
        </w:trPr>
        <w:tc>
          <w:tcPr>
            <w:tcW w:w="418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Theme="minorEastAsia" w:hAnsiTheme="minorEastAsia" w:cstheme="minorEastAsia"/>
                <w:color w:val="000000"/>
                <w:sz w:val="22"/>
                <w:szCs w:val="22"/>
              </w:rPr>
            </w:pPr>
          </w:p>
        </w:tc>
        <w:tc>
          <w:tcPr>
            <w:tcW w:w="811" w:type="pct"/>
            <w:tcBorders>
              <w:top w:val="single" w:color="000000" w:sz="4" w:space="0"/>
              <w:left w:val="single" w:color="auto" w:sz="4" w:space="0"/>
              <w:bottom w:val="nil"/>
              <w:right w:val="single" w:color="000000" w:sz="4" w:space="0"/>
            </w:tcBorders>
            <w:shd w:val="clear" w:color="auto" w:fill="auto"/>
            <w:noWrap/>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cstheme="minorEastAsia"/>
                <w:color w:val="000000"/>
                <w:kern w:val="0"/>
                <w:sz w:val="22"/>
                <w:szCs w:val="22"/>
                <w:lang w:bidi="ar"/>
              </w:rPr>
              <w:t>7018</w:t>
            </w:r>
          </w:p>
        </w:tc>
      </w:tr>
      <w:tr>
        <w:tblPrEx>
          <w:tblCellMar>
            <w:top w:w="0" w:type="dxa"/>
            <w:left w:w="108" w:type="dxa"/>
            <w:bottom w:w="0" w:type="dxa"/>
            <w:right w:w="108" w:type="dxa"/>
          </w:tblCellMar>
        </w:tblPrEx>
        <w:trPr>
          <w:trHeight w:val="2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服务方式：驻点服务，按现有设备数量配置</w:t>
            </w:r>
          </w:p>
          <w:p>
            <w:pPr>
              <w:widowControl/>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日常驻点人员：1-2人，大型活动期间：5-8人。</w:t>
            </w:r>
          </w:p>
          <w:p>
            <w:pPr>
              <w:widowControl/>
              <w:textAlignment w:val="center"/>
              <w:rPr>
                <w:rFonts w:asciiTheme="minorEastAsia" w:hAnsiTheme="minorEastAsia" w:cstheme="minorEastAsia"/>
                <w:color w:val="000000"/>
                <w:sz w:val="28"/>
                <w:szCs w:val="28"/>
              </w:rPr>
            </w:pPr>
            <w:r>
              <w:rPr>
                <w:rFonts w:hint="eastAsia" w:asciiTheme="minorEastAsia" w:hAnsiTheme="minorEastAsia" w:cstheme="minorEastAsia"/>
                <w:color w:val="000000"/>
                <w:kern w:val="0"/>
                <w:sz w:val="24"/>
                <w:lang w:bidi="ar"/>
              </w:rPr>
              <w:t>日常工作时间：5*8小时，周末及法定节假日需按校方要求无偿加班。</w:t>
            </w:r>
            <w:r>
              <w:rPr>
                <w:rFonts w:hint="eastAsia" w:asciiTheme="minorEastAsia" w:hAnsiTheme="minorEastAsia" w:cstheme="minorEastAsia"/>
                <w:color w:val="000000"/>
                <w:kern w:val="0"/>
                <w:sz w:val="24"/>
                <w:lang w:bidi="ar"/>
              </w:rPr>
              <w:br w:type="textWrapping"/>
            </w:r>
            <w:r>
              <w:rPr>
                <w:rFonts w:hint="eastAsia" w:asciiTheme="minorEastAsia" w:hAnsiTheme="minorEastAsia" w:cstheme="minorEastAsia"/>
                <w:color w:val="000000"/>
                <w:kern w:val="0"/>
                <w:sz w:val="24"/>
                <w:lang w:bidi="ar"/>
              </w:rPr>
              <w:t>服务响应：日常工作及时响应；法定节假日2小时内响应；48小时内解决。</w:t>
            </w:r>
          </w:p>
        </w:tc>
      </w:tr>
    </w:tbl>
    <w:p>
      <w:pPr>
        <w:pStyle w:val="12"/>
        <w:widowControl/>
        <w:spacing w:beforeAutospacing="0" w:afterAutospacing="0"/>
        <w:ind w:firstLine="482" w:firstLineChars="200"/>
        <w:rPr>
          <w:rFonts w:asciiTheme="minorEastAsia" w:hAnsiTheme="minorEastAsia" w:cstheme="minorEastAsia"/>
          <w:b/>
          <w:bCs/>
        </w:rPr>
      </w:pPr>
      <w:r>
        <w:rPr>
          <w:rFonts w:hint="eastAsia" w:asciiTheme="minorEastAsia" w:hAnsiTheme="minorEastAsia" w:cstheme="minorEastAsia"/>
          <w:b/>
          <w:bCs/>
        </w:rPr>
        <w:t>3.4其他事项（以下内容均为不允许负偏离的实质性要求）</w:t>
      </w:r>
    </w:p>
    <w:p>
      <w:pPr>
        <w:pStyle w:val="37"/>
        <w:ind w:firstLine="480"/>
        <w:jc w:val="both"/>
        <w:rPr>
          <w:rFonts w:hint="default" w:asciiTheme="minorEastAsia" w:hAnsiTheme="minorEastAsia" w:cstheme="minorEastAsia"/>
          <w:color w:val="000000"/>
          <w:sz w:val="24"/>
          <w:szCs w:val="24"/>
          <w:lang w:eastAsia="zh-CN" w:bidi="ar"/>
        </w:rPr>
      </w:pPr>
      <w:r>
        <w:rPr>
          <w:rFonts w:asciiTheme="minorEastAsia" w:hAnsiTheme="minorEastAsia" w:cstheme="minorEastAsia"/>
          <w:color w:val="000000"/>
          <w:sz w:val="24"/>
          <w:szCs w:val="24"/>
          <w:lang w:eastAsia="zh-CN" w:bidi="ar"/>
        </w:rPr>
        <w:t>1、除采购文件另有规定外，若出现有关法律、法规和规章有强制性规定但采购文件未列明的情形，则投标人应按照有关法律、法规和规章强制性规定执行。</w:t>
      </w:r>
    </w:p>
    <w:p>
      <w:pPr>
        <w:pStyle w:val="37"/>
        <w:ind w:firstLine="480"/>
        <w:jc w:val="both"/>
        <w:rPr>
          <w:rFonts w:hint="default" w:asciiTheme="minorEastAsia" w:hAnsiTheme="minorEastAsia" w:cstheme="minorEastAsia"/>
          <w:color w:val="000000"/>
          <w:sz w:val="24"/>
          <w:szCs w:val="24"/>
          <w:lang w:eastAsia="zh-CN" w:bidi="ar"/>
        </w:rPr>
      </w:pPr>
      <w:r>
        <w:rPr>
          <w:rFonts w:asciiTheme="minorEastAsia" w:hAnsiTheme="minorEastAsia" w:cstheme="minorEastAsia"/>
          <w:color w:val="000000"/>
          <w:sz w:val="24"/>
          <w:szCs w:val="24"/>
          <w:lang w:eastAsia="zh-CN" w:bidi="ar"/>
        </w:rPr>
        <w:t>2、其他：</w:t>
      </w:r>
    </w:p>
    <w:p>
      <w:pPr>
        <w:pStyle w:val="37"/>
        <w:ind w:firstLine="480"/>
        <w:jc w:val="both"/>
        <w:rPr>
          <w:rFonts w:hint="default" w:asciiTheme="minorEastAsia" w:hAnsiTheme="minorEastAsia" w:cstheme="minorEastAsia"/>
          <w:color w:val="000000"/>
          <w:sz w:val="24"/>
          <w:szCs w:val="24"/>
          <w:lang w:eastAsia="zh-CN" w:bidi="ar"/>
        </w:rPr>
      </w:pPr>
      <w:r>
        <w:rPr>
          <w:rFonts w:asciiTheme="minorEastAsia" w:hAnsiTheme="minorEastAsia" w:cstheme="minorEastAsia"/>
          <w:color w:val="000000"/>
          <w:sz w:val="24"/>
          <w:szCs w:val="24"/>
          <w:lang w:eastAsia="zh-CN" w:bidi="ar"/>
        </w:rPr>
        <w:t xml:space="preserve">（1）明确终止合同情况。成交供应商存在以下情况的，采购人有权终止合同，并要求成交供应商赔偿采购人的全部损失，并退还全部已支付的合同预付款。一是成交供应商中期总体服务考核被评定为不合格；二是对成交供应商不能胜任采购人运维服务要求，因维护不力导致采购人业务系统瘫痪，或因安全事件未采取有效措施导致上级通报，或造成采购人在外界的不良影响的；三是成交供应商违反合同及保密协议约定的保密义务；四是因成交供应商原因无法提供运维服务；五是在合同履行期间，如有发现赠送礼金、礼品、有价证券，违规吃请、旅游、娱乐等违反相关廉政规定的行为。 </w:t>
      </w:r>
    </w:p>
    <w:p>
      <w:pPr>
        <w:pStyle w:val="37"/>
        <w:ind w:firstLine="480"/>
        <w:jc w:val="both"/>
        <w:rPr>
          <w:rFonts w:hint="default" w:asciiTheme="minorEastAsia" w:hAnsiTheme="minorEastAsia" w:cstheme="minorEastAsia"/>
          <w:color w:val="000000"/>
          <w:sz w:val="24"/>
          <w:szCs w:val="24"/>
          <w:lang w:eastAsia="zh-CN" w:bidi="ar"/>
        </w:rPr>
      </w:pPr>
      <w:r>
        <w:rPr>
          <w:rFonts w:asciiTheme="minorEastAsia" w:hAnsiTheme="minorEastAsia" w:cstheme="minorEastAsia"/>
          <w:color w:val="000000"/>
          <w:sz w:val="24"/>
          <w:szCs w:val="24"/>
          <w:lang w:eastAsia="zh-CN" w:bidi="ar"/>
        </w:rPr>
        <w:t>（2）本采购文件未明确的其他约定事项或条款，待采购人与成交供应商签订合同时，由双方协商订立。</w:t>
      </w:r>
    </w:p>
    <w:p>
      <w:pPr>
        <w:pStyle w:val="12"/>
        <w:widowControl/>
        <w:spacing w:beforeAutospacing="0" w:afterAutospacing="0"/>
        <w:ind w:firstLine="482" w:firstLineChars="200"/>
        <w:rPr>
          <w:rFonts w:asciiTheme="minorEastAsia" w:hAnsiTheme="minorEastAsia" w:cstheme="minorEastAsia"/>
          <w:b/>
          <w:bCs/>
        </w:rPr>
      </w:pP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4.</w:t>
      </w:r>
      <w:r>
        <w:rPr>
          <w:rFonts w:hint="eastAsia" w:asciiTheme="minorEastAsia" w:hAnsiTheme="minorEastAsia" w:cstheme="minorEastAsia"/>
          <w:b/>
          <w:bCs/>
        </w:rPr>
        <w:t>报名资料</w:t>
      </w:r>
      <w:r>
        <w:rPr>
          <w:rFonts w:hint="eastAsia" w:asciiTheme="minorEastAsia" w:hAnsiTheme="minorEastAsia" w:cstheme="minorEastAsia"/>
        </w:rPr>
        <w:t>：报名信息表（详见公告附件）及营业执照复印件。</w:t>
      </w:r>
    </w:p>
    <w:p>
      <w:pPr>
        <w:pStyle w:val="12"/>
        <w:widowControl/>
        <w:spacing w:before="60" w:beforeAutospacing="0" w:after="60" w:afterAutospacing="0"/>
        <w:ind w:firstLine="482" w:firstLineChars="200"/>
        <w:rPr>
          <w:rFonts w:asciiTheme="minorEastAsia" w:hAnsiTheme="minorEastAsia" w:cstheme="minorEastAsia"/>
          <w:b/>
          <w:bCs/>
        </w:rPr>
      </w:pPr>
      <w:r>
        <w:rPr>
          <w:rFonts w:hint="eastAsia" w:asciiTheme="minorEastAsia" w:hAnsiTheme="minorEastAsia" w:cstheme="minorEastAsia"/>
          <w:b/>
          <w:bCs/>
        </w:rPr>
        <w:t>5.报名时间及方式：</w:t>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5.1报名时间：2024年1月1</w:t>
      </w:r>
      <w:r>
        <w:rPr>
          <w:rFonts w:hint="eastAsia" w:asciiTheme="minorEastAsia" w:hAnsiTheme="minorEastAsia" w:cstheme="minorEastAsia"/>
          <w:lang w:val="en-US" w:eastAsia="zh-CN"/>
        </w:rPr>
        <w:t>9</w:t>
      </w:r>
      <w:r>
        <w:rPr>
          <w:rFonts w:hint="eastAsia" w:asciiTheme="minorEastAsia" w:hAnsiTheme="minorEastAsia" w:cstheme="minorEastAsia"/>
        </w:rPr>
        <w:t>日至2024年1月23日，每天9:00～17:30（北京时间）。</w:t>
      </w:r>
    </w:p>
    <w:p>
      <w:pPr>
        <w:pStyle w:val="12"/>
        <w:widowControl/>
        <w:wordWrap w:val="0"/>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5.2报名方式：将报名材料发送至以下两个邮箱（</w:t>
      </w:r>
      <w:r>
        <w:fldChar w:fldCharType="begin"/>
      </w:r>
      <w:r>
        <w:instrText xml:space="preserve"> HYPERLINK "mailto:po@tjufz.org.cn" </w:instrText>
      </w:r>
      <w:r>
        <w:fldChar w:fldCharType="separate"/>
      </w:r>
      <w:r>
        <w:rPr>
          <w:rStyle w:val="20"/>
          <w:rFonts w:hint="eastAsia" w:asciiTheme="minorEastAsia" w:hAnsiTheme="minorEastAsia" w:cstheme="minorEastAsia"/>
        </w:rPr>
        <w:t>po@tjufz.org.cn</w:t>
      </w:r>
      <w:r>
        <w:rPr>
          <w:rStyle w:val="20"/>
          <w:rFonts w:hint="eastAsia" w:asciiTheme="minorEastAsia" w:hAnsiTheme="minorEastAsia" w:cstheme="minorEastAsia"/>
        </w:rPr>
        <w:fldChar w:fldCharType="end"/>
      </w:r>
      <w:r>
        <w:rPr>
          <w:rStyle w:val="20"/>
          <w:rFonts w:hint="eastAsia" w:asciiTheme="minorEastAsia" w:hAnsiTheme="minorEastAsia" w:cstheme="minorEastAsia"/>
        </w:rPr>
        <w:t>、2785972036@qq.com</w:t>
      </w:r>
      <w:r>
        <w:rPr>
          <w:rFonts w:hint="eastAsia" w:asciiTheme="minorEastAsia" w:hAnsiTheme="minorEastAsia" w:cstheme="minorEastAsia"/>
        </w:rPr>
        <w:t>）。</w:t>
      </w:r>
    </w:p>
    <w:p>
      <w:pPr>
        <w:pStyle w:val="12"/>
        <w:widowControl/>
        <w:spacing w:before="60" w:beforeAutospacing="0" w:after="60" w:afterAutospacing="0"/>
        <w:ind w:firstLine="480" w:firstLineChars="200"/>
        <w:jc w:val="both"/>
        <w:rPr>
          <w:rFonts w:asciiTheme="minorEastAsia" w:hAnsiTheme="minorEastAsia" w:cstheme="minorEastAsia"/>
        </w:rPr>
      </w:pPr>
      <w:r>
        <w:rPr>
          <w:rFonts w:hint="eastAsia" w:asciiTheme="minorEastAsia" w:hAnsiTheme="minorEastAsia" w:cstheme="minorEastAsia"/>
        </w:rPr>
        <w:t>5.3报名资料加盖单位公章发送至邮箱，即视为报名成功。采购</w:t>
      </w:r>
      <w:r>
        <w:rPr>
          <w:rFonts w:hint="eastAsia" w:ascii="宋体" w:hAnsi="宋体" w:eastAsia="宋体" w:cs="宋体"/>
        </w:rPr>
        <w:t>文件请自行在网站上下载。</w:t>
      </w:r>
    </w:p>
    <w:p>
      <w:pPr>
        <w:pStyle w:val="12"/>
        <w:widowControl/>
        <w:spacing w:before="60" w:beforeAutospacing="0" w:after="60" w:afterAutospacing="0"/>
        <w:ind w:firstLine="482" w:firstLineChars="200"/>
        <w:jc w:val="both"/>
        <w:rPr>
          <w:rFonts w:asciiTheme="minorEastAsia" w:hAnsiTheme="minorEastAsia" w:cstheme="minorEastAsia"/>
          <w:b/>
          <w:bCs/>
        </w:rPr>
      </w:pPr>
      <w:r>
        <w:rPr>
          <w:rFonts w:hint="eastAsia" w:asciiTheme="minorEastAsia" w:hAnsiTheme="minorEastAsia" w:cstheme="minorEastAsia"/>
          <w:b/>
          <w:bCs/>
        </w:rPr>
        <w:t>5.4完整响应文件资料（一式</w:t>
      </w:r>
      <w:r>
        <w:rPr>
          <w:rFonts w:hint="eastAsia" w:asciiTheme="minorEastAsia" w:hAnsiTheme="minorEastAsia" w:cstheme="minorEastAsia"/>
          <w:b/>
          <w:bCs/>
          <w:u w:val="single"/>
          <w:lang w:val="en-US" w:eastAsia="zh-CN"/>
        </w:rPr>
        <w:t>三</w:t>
      </w:r>
      <w:r>
        <w:rPr>
          <w:rFonts w:hint="eastAsia" w:asciiTheme="minorEastAsia" w:hAnsiTheme="minorEastAsia" w:cstheme="minorEastAsia"/>
          <w:b/>
          <w:bCs/>
        </w:rPr>
        <w:t>份，一正</w:t>
      </w:r>
      <w:r>
        <w:rPr>
          <w:rFonts w:hint="eastAsia" w:asciiTheme="minorEastAsia" w:hAnsiTheme="minorEastAsia" w:cstheme="minorEastAsia"/>
          <w:b/>
          <w:bCs/>
          <w:lang w:val="en-US" w:eastAsia="zh-CN"/>
        </w:rPr>
        <w:t>两</w:t>
      </w:r>
      <w:r>
        <w:rPr>
          <w:rFonts w:hint="eastAsia" w:asciiTheme="minorEastAsia" w:hAnsiTheme="minorEastAsia" w:cstheme="minorEastAsia"/>
          <w:b/>
          <w:bCs/>
        </w:rPr>
        <w:t>副）：</w:t>
      </w:r>
    </w:p>
    <w:p>
      <w:pPr>
        <w:pStyle w:val="12"/>
        <w:widowControl/>
        <w:spacing w:before="60" w:beforeAutospacing="0" w:after="60" w:afterAutospacing="0"/>
        <w:ind w:firstLine="482" w:firstLineChars="200"/>
        <w:jc w:val="both"/>
        <w:rPr>
          <w:rFonts w:asciiTheme="minorEastAsia" w:hAnsiTheme="minorEastAsia" w:cstheme="minorEastAsia"/>
        </w:rPr>
      </w:pPr>
      <w:r>
        <w:rPr>
          <w:rFonts w:hint="eastAsia" w:asciiTheme="minorEastAsia" w:hAnsiTheme="minorEastAsia" w:cstheme="minorEastAsia"/>
          <w:b/>
          <w:bCs/>
        </w:rPr>
        <w:t>5.4.1、资格证明资料（具体内容详见下表）：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blHeader/>
          <w:jc w:val="center"/>
        </w:trPr>
        <w:tc>
          <w:tcPr>
            <w:tcW w:w="11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明细</w:t>
            </w:r>
          </w:p>
        </w:tc>
        <w:tc>
          <w:tcPr>
            <w:tcW w:w="389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a1投标函</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按格式提供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w:t>
            </w:r>
            <w:r>
              <w:rPr>
                <w:rFonts w:hint="eastAsia" w:asciiTheme="minorEastAsia" w:hAnsiTheme="minorEastAsia" w:cstheme="minorEastAsia"/>
                <w:color w:val="000000" w:themeColor="text1"/>
                <w:kern w:val="0"/>
                <w:szCs w:val="21"/>
                <w:shd w:val="clear" w:color="auto" w:fill="FFFFFF"/>
                <w14:textFill>
                  <w14:solidFill>
                    <w14:schemeClr w14:val="tx1"/>
                  </w14:solidFill>
                </w14:textFill>
              </w:rPr>
              <w:t>2单位负责人授权书</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2.银行、保险、石油石化、电力、电信等行业：</w:t>
            </w:r>
            <w:bookmarkStart w:id="0" w:name="_GoBack"/>
            <w:bookmarkEnd w:id="0"/>
            <w:r>
              <w:rPr>
                <w:rFonts w:hint="eastAsia" w:asciiTheme="minorEastAsia" w:hAnsiTheme="minorEastAsia" w:cstheme="minorEastAsia"/>
                <w:color w:val="000000" w:themeColor="text1"/>
                <w:szCs w:val="21"/>
                <w14:textFill>
                  <w14:solidFill>
                    <w14:schemeClr w14:val="tx1"/>
                  </w14:solidFill>
                </w14:textFill>
              </w:rPr>
              <w:t>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3.供应商：若供应商代表为单位负责人授权的委托代理人，应提供本授权书；若供应商代表为单位负责人，应在此项下提交其身份证正反面复印件，可不提供本授权书。</w:t>
            </w:r>
          </w:p>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4.纸质响应文件正本中的本授权书（若有）应为原件。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a3营业执照</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pPr>
              <w:widowControl/>
              <w:adjustRightInd w:val="0"/>
              <w:snapToGrid w:val="0"/>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a4财务状况报告</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供应商提供的财务报告复印件（成立年限按照提交响应文件截止时间推算）应符合下列规定：1.1成立年限满1年及以上的供应商，提供经审计的2022年度的年度财务报告。1.2成立年限满半年但不足1年的供应商，提供该半年度中任一季度的季度财务报告或该半年度的半年度财务报告。1.3无法按照第1.1、1.2条规定提供财务报告复印件的供应商（包括但不限于：成立年限满1年及以上的供应商、成立年限满半年但不足1年的供应商、成立年限不足半年的供应商），应选择提供资信证明。</w:t>
            </w:r>
            <w:r>
              <w:rPr>
                <w:rFonts w:hint="eastAsia" w:asciiTheme="minorEastAsia" w:hAnsiTheme="minorEastAsia" w:cstheme="minorEastAsia"/>
                <w:b/>
                <w:bCs/>
                <w:color w:val="000000" w:themeColor="text1"/>
                <w:szCs w:val="21"/>
                <w14:textFill>
                  <w14:solidFill>
                    <w14:schemeClr w14:val="tx1"/>
                  </w14:solidFill>
                </w14:textFill>
              </w:rPr>
              <w:t>注：《资信证明》若注明复印无效的需提供原件，否则视为未提供。</w:t>
            </w:r>
          </w:p>
          <w:p>
            <w:pPr>
              <w:widowControl/>
              <w:adjustRightInd w:val="0"/>
              <w:snapToGrid w:val="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2.供应商提供的相应证明材料均应符合：内容完整、清晰、整洁，并由供应商加盖其单位公章。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a5依法缴纳税收的相关材料</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供应商提供的税收凭据复印件应符合下列规定：1.1提交响应文件截止时间前（不含提交响应文件截止时间的当月）已依法缴纳税收的供应商，提供提交响应文件截止时间前六个月（不含提交响应文件截止时间的当月）中任一月份的税收凭据复印件。1.2提交响应文件截止时间的当月成立且已依法缴纳税收的供应商，提供提交响应文件截止时间当月的税收凭据复印件。1.3提交响应文件截止时间的当月成立但因税务机关原因导致其尚未依法缴纳税收的供应商，提供依法缴纳税收承诺书原件（格式自拟），该承诺书视同税收凭据。</w:t>
            </w:r>
          </w:p>
          <w:p>
            <w:pPr>
              <w:widowControl/>
              <w:adjustRightInd w:val="0"/>
              <w:snapToGrid w:val="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2.“依法缴纳税收证明材料”有欠缴记录的，视为未依法缴纳税收。</w:t>
            </w:r>
          </w:p>
          <w:p>
            <w:pPr>
              <w:widowControl/>
              <w:adjustRightInd w:val="0"/>
              <w:snapToGrid w:val="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a6依法缴纳社会保障资金的相关材料</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供应商提供的社会保险凭据复印件应符合下列规定：1.1提交响应文件截止时间前（不含提交响应文件截止时间的当月）已依法缴纳社会保障资金的供应商，提供提交响应文件截止时间前六个月（不含提交响应文件截止时间的当月）中任一月份的社会保险凭据复印件。1.2提交响应文件截止时间的当月成立且已依法缴纳社会保障资金的供应商，提供提交响应文件截止时间当月的社会保险凭据复印件。1.3提交响应文件截止时间的当月成立但因税务机关/社会保障资金管理机关原因导致其尚未依法缴纳社会保障资金的供应商，提供依法缴纳社会保障资金承诺书原件（格式自拟），该承诺书视同社会保险凭据。</w:t>
            </w:r>
          </w:p>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2.“依法缴纳社会保障资金证明材料”有欠缴记录的，视为未依法缴纳社会保障资金。</w:t>
            </w:r>
          </w:p>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a7</w:t>
            </w:r>
            <w:r>
              <w:rPr>
                <w:rFonts w:hint="eastAsia" w:asciiTheme="minorEastAsia" w:hAnsiTheme="minorEastAsia" w:cstheme="minorEastAsia"/>
                <w:kern w:val="0"/>
                <w:szCs w:val="21"/>
              </w:rPr>
              <w:t>供应商参加采购活动前3年内在经营活动中没有重大违法记录的书面声明</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1.提供供应商参加采购活动前3年内在经营活动中没有重大违法记录的书面声明函。2.纸质响应文件正本中的本声明应为原件。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1108" w:type="pct"/>
            <w:tcBorders>
              <w:top w:val="single" w:color="auto" w:sz="4" w:space="0"/>
              <w:left w:val="single" w:color="auto" w:sz="4" w:space="0"/>
              <w:bottom w:val="single" w:color="auto" w:sz="4" w:space="0"/>
              <w:right w:val="single" w:color="auto" w:sz="4" w:space="0"/>
            </w:tcBorders>
            <w:shd w:val="clear" w:color="auto" w:fill="FFFFFF"/>
            <w:noWrap/>
            <w:vAlign w:val="center"/>
          </w:tcPr>
          <w:p>
            <w:pPr>
              <w:outlineLvl w:val="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a8</w:t>
            </w:r>
            <w:r>
              <w:rPr>
                <w:rFonts w:hint="eastAsia" w:asciiTheme="minorEastAsia" w:hAnsiTheme="minorEastAsia" w:cstheme="minorEastAsia"/>
                <w:szCs w:val="21"/>
              </w:rPr>
              <w:t>信用记录查询结果</w:t>
            </w:r>
          </w:p>
        </w:tc>
        <w:tc>
          <w:tcPr>
            <w:tcW w:w="3892" w:type="pc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被列入失信被执行人、重大税收违法案件当事人名单、政府采购严重违法失信行为记录名单的供应商，不得参加本次投标。根据财库〔2016〕125号文件规定，供应商不得被列入失信被执行人、重大税收违法案件当事人名单、政府采购严重违法失信行为记录名单，供应商针对“信用记录查询结果”可自主提供证明材料，未提供该证明材料的不视为响应文件无效。查询结果的审查：①由评审小组通过上述网站查询并打印供应商信用记录（以下简称：“评审小组的查询结果”）。②供应商提供的查询结果与评审小组的查询结果不一致的，以评审小组的查询结果为准。③因上述网站原因导致评审小组无法查询供应商信用记录的（评审小组应将通过上述网站查询供应商信用记录时的原始页面打印后随采购文件一并存档），视为查询结果未存在供应商应被拒绝参与政府采购活动相关的信息。④查询结果存在供应商应被拒绝参与政府采购活动相关信息的，其资格审查不合格。</w:t>
            </w:r>
          </w:p>
        </w:tc>
      </w:tr>
    </w:tbl>
    <w:p>
      <w:pPr>
        <w:pStyle w:val="12"/>
        <w:widowControl/>
        <w:spacing w:before="60" w:beforeAutospacing="0" w:after="60" w:afterAutospacing="0"/>
        <w:ind w:firstLine="480" w:firstLineChars="200"/>
        <w:jc w:val="both"/>
        <w:rPr>
          <w:rFonts w:asciiTheme="minorEastAsia" w:hAnsiTheme="minorEastAsia" w:cstheme="minorEastAsia"/>
        </w:rPr>
      </w:pPr>
    </w:p>
    <w:p>
      <w:pPr>
        <w:pStyle w:val="12"/>
        <w:widowControl/>
        <w:spacing w:before="60" w:beforeAutospacing="0" w:after="60" w:afterAutospacing="0"/>
        <w:ind w:firstLine="482" w:firstLineChars="200"/>
        <w:jc w:val="both"/>
        <w:rPr>
          <w:rFonts w:asciiTheme="minorEastAsia" w:hAnsiTheme="minorEastAsia" w:cstheme="minorEastAsia"/>
        </w:rPr>
      </w:pPr>
      <w:r>
        <w:rPr>
          <w:rFonts w:hint="eastAsia" w:asciiTheme="minorEastAsia" w:hAnsiTheme="minorEastAsia" w:cstheme="minorEastAsia"/>
          <w:b/>
          <w:bCs/>
        </w:rPr>
        <w:t>5.4.2、技术商务响应资料：</w:t>
      </w:r>
      <w:r>
        <w:rPr>
          <w:rFonts w:hint="eastAsia" w:asciiTheme="minorEastAsia" w:hAnsiTheme="minorEastAsia" w:cstheme="minorEastAsia"/>
          <w:u w:val="single"/>
        </w:rPr>
        <w:t>采购需求响应表</w:t>
      </w:r>
      <w:r>
        <w:rPr>
          <w:rFonts w:hint="eastAsia" w:asciiTheme="minorEastAsia" w:hAnsiTheme="minorEastAsia" w:cstheme="minorEastAsia"/>
        </w:rPr>
        <w:t>、</w:t>
      </w:r>
      <w:r>
        <w:rPr>
          <w:rFonts w:hint="eastAsia" w:asciiTheme="minorEastAsia" w:hAnsiTheme="minorEastAsia" w:cstheme="minorEastAsia"/>
          <w:u w:val="single"/>
        </w:rPr>
        <w:t>服务方案</w:t>
      </w:r>
      <w:r>
        <w:rPr>
          <w:rFonts w:hint="eastAsia" w:asciiTheme="minorEastAsia" w:hAnsiTheme="minorEastAsia" w:cstheme="minorEastAsia"/>
        </w:rPr>
        <w:t>、</w:t>
      </w:r>
      <w:r>
        <w:rPr>
          <w:rFonts w:hint="eastAsia" w:asciiTheme="minorEastAsia" w:hAnsiTheme="minorEastAsia" w:cstheme="minorEastAsia"/>
          <w:u w:val="single"/>
        </w:rPr>
        <w:t>加盖单位公章报价表等要求作为响应文件组成部分的其他内容</w:t>
      </w:r>
      <w:r>
        <w:rPr>
          <w:rFonts w:hint="eastAsia" w:asciiTheme="minorEastAsia" w:hAnsiTheme="minorEastAsia" w:cstheme="minorEastAsia"/>
        </w:rPr>
        <w:t>。</w:t>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u w:val="single"/>
        </w:rPr>
        <w:t>本项目供应商提交</w:t>
      </w:r>
      <w:r>
        <w:rPr>
          <w:rFonts w:hint="eastAsia" w:asciiTheme="minorEastAsia" w:hAnsiTheme="minorEastAsia" w:cstheme="minorEastAsia"/>
          <w:b/>
          <w:bCs/>
          <w:u w:val="single"/>
        </w:rPr>
        <w:t>1</w:t>
      </w:r>
      <w:r>
        <w:rPr>
          <w:rFonts w:hint="eastAsia" w:asciiTheme="minorEastAsia" w:hAnsiTheme="minorEastAsia" w:cstheme="minorEastAsia"/>
          <w:u w:val="single"/>
        </w:rPr>
        <w:t>次响应文件，供应商首次提交的响应文件即视为最终报价和方案</w:t>
      </w:r>
      <w:r>
        <w:rPr>
          <w:rFonts w:hint="eastAsia" w:asciiTheme="minorEastAsia" w:hAnsiTheme="minorEastAsia" w:cstheme="minorEastAsia"/>
        </w:rPr>
        <w:t>。</w:t>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响应文件提交截止时间：2024年1月26日14:30（北京时间），晚于上述时间送达的响应文件不予接收。</w:t>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6.非标评议时间及地点：2024年1月26日14:30（北京时间），福建康泰招标有限公司（福州市鼓楼区湖东路169号中闽天骜大厦13层）。</w:t>
      </w:r>
    </w:p>
    <w:p>
      <w:pPr>
        <w:pStyle w:val="12"/>
        <w:widowControl/>
        <w:spacing w:before="60" w:beforeAutospacing="0" w:after="60" w:afterAutospacing="0"/>
        <w:ind w:firstLine="480" w:firstLineChars="200"/>
        <w:rPr>
          <w:rFonts w:asciiTheme="minorEastAsia" w:hAnsiTheme="minorEastAsia" w:cstheme="minorEastAsia"/>
        </w:rPr>
      </w:pPr>
      <w:r>
        <w:rPr>
          <w:rFonts w:hint="eastAsia" w:asciiTheme="minorEastAsia" w:hAnsiTheme="minorEastAsia" w:cstheme="minorEastAsia"/>
        </w:rPr>
        <w:t>7.非标采购公告期限：发布公告之日起5个工作日。</w:t>
      </w:r>
    </w:p>
    <w:p>
      <w:pPr>
        <w:pStyle w:val="12"/>
        <w:widowControl/>
        <w:adjustRightInd w:val="0"/>
        <w:snapToGrid w:val="0"/>
        <w:spacing w:beforeAutospacing="0" w:afterAutospacing="0"/>
        <w:ind w:firstLine="480" w:firstLineChars="20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 xml:space="preserve">8.采购人联系方式 </w:t>
      </w:r>
    </w:p>
    <w:p>
      <w:pPr>
        <w:pStyle w:val="12"/>
        <w:widowControl/>
        <w:adjustRightInd w:val="0"/>
        <w:snapToGrid w:val="0"/>
        <w:spacing w:beforeAutospacing="0" w:afterAutospacing="0"/>
        <w:ind w:firstLine="480" w:firstLineChars="200"/>
        <w:rPr>
          <w:rFonts w:asciiTheme="minorEastAsia" w:hAnsiTheme="minorEastAsia" w:cstheme="minorEastAsia"/>
        </w:rPr>
      </w:pPr>
      <w:r>
        <w:rPr>
          <w:rFonts w:hint="eastAsia" w:asciiTheme="minorEastAsia" w:hAnsiTheme="minorEastAsia" w:cstheme="minorEastAsia"/>
          <w:shd w:val="clear" w:color="auto" w:fill="FFFFFF"/>
        </w:rPr>
        <w:t>采购人：</w:t>
      </w:r>
      <w:r>
        <w:rPr>
          <w:rFonts w:hint="eastAsia" w:asciiTheme="minorEastAsia" w:hAnsiTheme="minorEastAsia" w:cstheme="minorEastAsia"/>
          <w:u w:val="single"/>
          <w:shd w:val="clear" w:color="auto" w:fill="FFFFFF"/>
        </w:rPr>
        <w:t>天津大学福州国际联合学院</w:t>
      </w:r>
    </w:p>
    <w:p>
      <w:pPr>
        <w:pStyle w:val="12"/>
        <w:widowControl/>
        <w:adjustRightInd w:val="0"/>
        <w:snapToGrid w:val="0"/>
        <w:spacing w:beforeAutospacing="0" w:afterAutospacing="0"/>
        <w:ind w:firstLine="480" w:firstLineChars="20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地址：</w:t>
      </w:r>
      <w:r>
        <w:rPr>
          <w:rFonts w:hint="eastAsia" w:asciiTheme="minorEastAsia" w:hAnsiTheme="minorEastAsia" w:cstheme="minorEastAsia"/>
          <w:u w:val="single"/>
          <w:shd w:val="clear" w:color="auto" w:fill="FFFFFF"/>
        </w:rPr>
        <w:t>福建省福州市长乐区天津大学福州国际校区</w:t>
      </w:r>
    </w:p>
    <w:p>
      <w:pPr>
        <w:pStyle w:val="12"/>
        <w:widowControl/>
        <w:adjustRightInd w:val="0"/>
        <w:snapToGrid w:val="0"/>
        <w:spacing w:beforeAutospacing="0" w:afterAutospacing="0"/>
        <w:ind w:firstLine="480" w:firstLineChars="200"/>
        <w:rPr>
          <w:rFonts w:asciiTheme="minorEastAsia" w:hAnsiTheme="minorEastAsia" w:cstheme="minorEastAsia"/>
          <w:u w:val="single"/>
        </w:rPr>
      </w:pPr>
      <w:r>
        <w:rPr>
          <w:rFonts w:hint="eastAsia" w:asciiTheme="minorEastAsia" w:hAnsiTheme="minorEastAsia" w:cstheme="minorEastAsia"/>
          <w:shd w:val="clear" w:color="auto" w:fill="FFFFFF"/>
        </w:rPr>
        <w:t>联系人：</w:t>
      </w:r>
      <w:r>
        <w:rPr>
          <w:rFonts w:hint="eastAsia" w:asciiTheme="minorEastAsia" w:hAnsiTheme="minorEastAsia" w:cstheme="minorEastAsia"/>
          <w:u w:val="single"/>
        </w:rPr>
        <w:t>林新颖</w:t>
      </w:r>
    </w:p>
    <w:p>
      <w:pPr>
        <w:pStyle w:val="12"/>
        <w:widowControl/>
        <w:adjustRightInd w:val="0"/>
        <w:snapToGrid w:val="0"/>
        <w:spacing w:beforeAutospacing="0" w:afterAutospacing="0"/>
        <w:ind w:firstLine="480" w:firstLineChars="200"/>
        <w:rPr>
          <w:rFonts w:asciiTheme="minorEastAsia" w:hAnsiTheme="minorEastAsia" w:cstheme="minorEastAsia"/>
          <w:u w:val="single"/>
          <w:shd w:val="clear" w:color="auto" w:fill="FFFFFF"/>
        </w:rPr>
      </w:pPr>
      <w:r>
        <w:rPr>
          <w:rFonts w:hint="eastAsia" w:asciiTheme="minorEastAsia" w:hAnsiTheme="minorEastAsia" w:cstheme="minorEastAsia"/>
          <w:shd w:val="clear" w:color="auto" w:fill="FFFFFF"/>
        </w:rPr>
        <w:t>联系方式：</w:t>
      </w:r>
      <w:r>
        <w:rPr>
          <w:rFonts w:hint="eastAsia" w:asciiTheme="minorEastAsia" w:hAnsiTheme="minorEastAsia" w:cstheme="minorEastAsia"/>
          <w:u w:val="single"/>
          <w:shd w:val="clear" w:color="auto" w:fill="FFFFFF"/>
        </w:rPr>
        <w:t>0591-62602687/18950218846</w:t>
      </w:r>
    </w:p>
    <w:p>
      <w:pPr>
        <w:pStyle w:val="12"/>
        <w:widowControl/>
        <w:adjustRightInd w:val="0"/>
        <w:snapToGrid w:val="0"/>
        <w:spacing w:beforeAutospacing="0" w:afterAutospacing="0"/>
        <w:ind w:firstLine="480" w:firstLineChars="200"/>
        <w:rPr>
          <w:rFonts w:asciiTheme="minorEastAsia" w:hAnsiTheme="minorEastAsia" w:cstheme="minorEastAsia"/>
          <w:color w:val="000000" w:themeColor="text1"/>
          <w:shd w:val="clear" w:color="auto" w:fill="FFFFFF"/>
          <w14:textFill>
            <w14:solidFill>
              <w14:schemeClr w14:val="tx1"/>
            </w14:solidFill>
          </w14:textFill>
        </w:rPr>
      </w:pPr>
      <w:r>
        <w:rPr>
          <w:rFonts w:hint="eastAsia" w:asciiTheme="minorEastAsia" w:hAnsiTheme="minorEastAsia" w:cstheme="minorEastAsia"/>
          <w:color w:val="000000" w:themeColor="text1"/>
          <w:shd w:val="clear" w:color="auto" w:fill="FFFFFF"/>
          <w14:textFill>
            <w14:solidFill>
              <w14:schemeClr w14:val="tx1"/>
            </w14:solidFill>
          </w14:textFill>
        </w:rPr>
        <w:t>9.采购代理机构联系方式</w:t>
      </w:r>
    </w:p>
    <w:p>
      <w:pPr>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采购代理机构：</w:t>
      </w:r>
      <w:r>
        <w:rPr>
          <w:rFonts w:hint="eastAsia" w:asciiTheme="minorEastAsia" w:hAnsiTheme="minorEastAsia" w:cstheme="minorEastAsia"/>
          <w:sz w:val="24"/>
          <w:u w:val="single"/>
        </w:rPr>
        <w:t xml:space="preserve"> 福建康泰招标有限公司  </w:t>
      </w:r>
    </w:p>
    <w:p>
      <w:pPr>
        <w:ind w:firstLine="480" w:firstLineChars="200"/>
        <w:rPr>
          <w:rFonts w:asciiTheme="minorEastAsia" w:hAnsiTheme="minorEastAsia" w:cstheme="minorEastAsia"/>
          <w:sz w:val="24"/>
          <w:u w:val="single"/>
        </w:rPr>
      </w:pPr>
      <w:r>
        <w:rPr>
          <w:rFonts w:hint="eastAsia" w:asciiTheme="minorEastAsia" w:hAnsiTheme="minorEastAsia" w:cstheme="minorEastAsia"/>
          <w:sz w:val="24"/>
        </w:rPr>
        <w:t>地  址：</w:t>
      </w:r>
      <w:r>
        <w:rPr>
          <w:rFonts w:hint="eastAsia" w:asciiTheme="minorEastAsia" w:hAnsiTheme="minorEastAsia" w:cstheme="minorEastAsia"/>
          <w:sz w:val="24"/>
          <w:u w:val="single"/>
        </w:rPr>
        <w:t>福州市鼓楼区湖东路169号中闽天骜大厦13层</w:t>
      </w:r>
    </w:p>
    <w:p>
      <w:pPr>
        <w:tabs>
          <w:tab w:val="left" w:pos="3615"/>
        </w:tabs>
        <w:ind w:firstLine="480" w:firstLineChars="200"/>
        <w:rPr>
          <w:rFonts w:asciiTheme="minorEastAsia" w:hAnsiTheme="minorEastAsia" w:cstheme="minorEastAsia"/>
          <w:sz w:val="24"/>
        </w:rPr>
      </w:pPr>
      <w:r>
        <w:rPr>
          <w:rFonts w:hint="eastAsia" w:asciiTheme="minorEastAsia" w:hAnsiTheme="minorEastAsia" w:cstheme="minorEastAsia"/>
          <w:sz w:val="24"/>
        </w:rPr>
        <w:t>邮  编：</w:t>
      </w:r>
      <w:r>
        <w:rPr>
          <w:rFonts w:hint="eastAsia" w:asciiTheme="minorEastAsia" w:hAnsiTheme="minorEastAsia" w:cstheme="minorEastAsia"/>
          <w:sz w:val="24"/>
          <w:u w:val="single"/>
        </w:rPr>
        <w:t xml:space="preserve">         350001       </w:t>
      </w:r>
      <w:r>
        <w:rPr>
          <w:rFonts w:hint="eastAsia" w:asciiTheme="minorEastAsia" w:hAnsiTheme="minorEastAsia" w:cstheme="minorEastAsia"/>
          <w:sz w:val="24"/>
          <w:u w:val="single"/>
        </w:rPr>
        <w:tab/>
      </w:r>
      <w:r>
        <w:rPr>
          <w:rFonts w:hint="eastAsia" w:asciiTheme="minorEastAsia" w:hAnsiTheme="minorEastAsia" w:cstheme="minorEastAsia"/>
          <w:sz w:val="24"/>
          <w:u w:val="single"/>
        </w:rPr>
        <w:t xml:space="preserve"> </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电  话：</w:t>
      </w:r>
      <w:r>
        <w:rPr>
          <w:rFonts w:hint="eastAsia" w:asciiTheme="minorEastAsia" w:hAnsiTheme="minorEastAsia" w:cstheme="minorEastAsia"/>
          <w:sz w:val="24"/>
          <w:u w:val="single"/>
        </w:rPr>
        <w:t xml:space="preserve">     0591-87803505      </w:t>
      </w:r>
    </w:p>
    <w:p>
      <w:pPr>
        <w:ind w:firstLine="480" w:firstLineChars="200"/>
        <w:rPr>
          <w:rFonts w:asciiTheme="minorEastAsia" w:hAnsiTheme="minorEastAsia" w:cstheme="minorEastAsia"/>
          <w:sz w:val="24"/>
          <w:u w:val="single"/>
        </w:rPr>
      </w:pPr>
      <w:r>
        <w:rPr>
          <w:rFonts w:hint="eastAsia" w:asciiTheme="minorEastAsia" w:hAnsiTheme="minorEastAsia" w:cstheme="minorEastAsia"/>
          <w:sz w:val="24"/>
        </w:rPr>
        <w:t>传  真：</w:t>
      </w:r>
      <w:r>
        <w:rPr>
          <w:rFonts w:hint="eastAsia" w:asciiTheme="minorEastAsia" w:hAnsiTheme="minorEastAsia" w:cstheme="minorEastAsia"/>
          <w:sz w:val="24"/>
          <w:u w:val="single"/>
        </w:rPr>
        <w:t xml:space="preserve">     0591-87112226      </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项目联系人1：</w:t>
      </w:r>
      <w:r>
        <w:rPr>
          <w:rFonts w:hint="eastAsia" w:asciiTheme="minorEastAsia" w:hAnsiTheme="minorEastAsia" w:cstheme="minorEastAsia"/>
          <w:sz w:val="24"/>
          <w:u w:val="single"/>
        </w:rPr>
        <w:t xml:space="preserve">林新颖  0591-62602687 </w:t>
      </w:r>
      <w:r>
        <w:rPr>
          <w:rFonts w:hint="eastAsia" w:asciiTheme="minorEastAsia" w:hAnsiTheme="minorEastAsia" w:cstheme="minorEastAsia"/>
          <w:sz w:val="24"/>
        </w:rPr>
        <w:t xml:space="preserve">     电子邮箱：</w:t>
      </w:r>
      <w:r>
        <w:rPr>
          <w:rFonts w:hint="eastAsia" w:asciiTheme="minorEastAsia" w:hAnsiTheme="minorEastAsia" w:cstheme="minorEastAsia"/>
          <w:sz w:val="24"/>
          <w:u w:val="single"/>
        </w:rPr>
        <w:t>po@tjufz.org.cn</w:t>
      </w:r>
    </w:p>
    <w:p>
      <w:pPr>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项目联系人2：</w:t>
      </w:r>
      <w:r>
        <w:rPr>
          <w:rFonts w:hint="eastAsia" w:asciiTheme="minorEastAsia" w:hAnsiTheme="minorEastAsia" w:cstheme="minorEastAsia"/>
          <w:sz w:val="24"/>
          <w:u w:val="single"/>
        </w:rPr>
        <w:t xml:space="preserve">樊淑贞、陈东英  0591-87803505 转805  </w:t>
      </w:r>
    </w:p>
    <w:p>
      <w:pPr>
        <w:widowControl/>
        <w:numPr>
          <w:ilvl w:val="255"/>
          <w:numId w:val="0"/>
        </w:numPr>
        <w:ind w:firstLine="482" w:firstLineChars="200"/>
        <w:jc w:val="left"/>
        <w:rPr>
          <w:rStyle w:val="17"/>
          <w:rFonts w:asciiTheme="minorEastAsia" w:hAnsiTheme="minorEastAsia" w:cstheme="minorEastAsia"/>
          <w:bCs/>
          <w:sz w:val="24"/>
        </w:rPr>
      </w:pPr>
      <w:r>
        <w:rPr>
          <w:rStyle w:val="17"/>
          <w:rFonts w:hint="eastAsia" w:asciiTheme="minorEastAsia" w:hAnsiTheme="minorEastAsia" w:cstheme="minorEastAsia"/>
          <w:bCs/>
          <w:sz w:val="24"/>
        </w:rPr>
        <w:t>10.采购代理服务费：</w:t>
      </w:r>
      <w:r>
        <w:rPr>
          <w:rFonts w:hint="eastAsia" w:asciiTheme="minorEastAsia" w:hAnsiTheme="minorEastAsia" w:cstheme="minorEastAsia"/>
          <w:sz w:val="24"/>
        </w:rPr>
        <w:t>本项目采购代理服务费向成交供应商收取。代理服务费按成交金额的1.5%计算后整体下浮20%计取。</w:t>
      </w:r>
      <w:r>
        <w:rPr>
          <w:rStyle w:val="17"/>
          <w:rFonts w:hint="eastAsia" w:asciiTheme="minorEastAsia" w:hAnsiTheme="minorEastAsia" w:cstheme="minorEastAsia"/>
          <w:b w:val="0"/>
          <w:bCs/>
          <w:sz w:val="24"/>
        </w:rPr>
        <w:t>成交供应商</w:t>
      </w:r>
      <w:r>
        <w:rPr>
          <w:rFonts w:hint="eastAsia" w:asciiTheme="minorEastAsia" w:hAnsiTheme="minorEastAsia" w:cstheme="minorEastAsia"/>
          <w:sz w:val="24"/>
        </w:rPr>
        <w:t>在领取《成交通知书》前以银行转账或现金形式缴至福建康泰招标有限公司账户，服务费缴纳账户信息：开户名：福建康泰招标有限公司，开户行：中信银行福州江滨路支行, 账号：7612110182600018475。</w:t>
      </w:r>
      <w:r>
        <w:rPr>
          <w:rStyle w:val="17"/>
          <w:rFonts w:hint="eastAsia" w:asciiTheme="minorEastAsia" w:hAnsiTheme="minorEastAsia" w:cstheme="minorEastAsia"/>
          <w:bCs/>
          <w:sz w:val="24"/>
        </w:rPr>
        <w:br w:type="page"/>
      </w:r>
    </w:p>
    <w:p>
      <w:pPr>
        <w:pStyle w:val="12"/>
        <w:widowControl/>
        <w:spacing w:before="60" w:beforeAutospacing="0" w:after="60" w:afterAutospacing="0"/>
        <w:ind w:firstLine="482"/>
        <w:rPr>
          <w:rStyle w:val="17"/>
          <w:rFonts w:asciiTheme="minorEastAsia" w:hAnsiTheme="minorEastAsia" w:cstheme="minorEastAsia"/>
          <w:b w:val="0"/>
        </w:rPr>
      </w:pPr>
      <w:r>
        <w:rPr>
          <w:rStyle w:val="17"/>
          <w:rFonts w:hint="eastAsia" w:asciiTheme="minorEastAsia" w:hAnsiTheme="minorEastAsia" w:cstheme="minorEastAsia"/>
          <w:bCs/>
        </w:rPr>
        <w:t>专项附件：评审的标准和方法</w:t>
      </w:r>
    </w:p>
    <w:p>
      <w:pPr>
        <w:pStyle w:val="12"/>
        <w:widowControl/>
        <w:spacing w:beforeAutospacing="0" w:afterAutospacing="0" w:line="360" w:lineRule="auto"/>
        <w:ind w:firstLine="480" w:firstLineChars="200"/>
        <w:jc w:val="both"/>
        <w:rPr>
          <w:rStyle w:val="17"/>
          <w:rFonts w:asciiTheme="minorEastAsia" w:hAnsiTheme="minorEastAsia" w:cstheme="minorEastAsia"/>
          <w:b w:val="0"/>
        </w:rPr>
      </w:pPr>
      <w:r>
        <w:rPr>
          <w:rStyle w:val="17"/>
          <w:rFonts w:hint="eastAsia" w:asciiTheme="minorEastAsia" w:hAnsiTheme="minorEastAsia" w:cstheme="minorEastAsia"/>
          <w:b w:val="0"/>
        </w:rPr>
        <w:t>一、组成评审小组。评审小组由评审专家（以下简称评委）共</w:t>
      </w:r>
      <w:r>
        <w:rPr>
          <w:rStyle w:val="17"/>
          <w:rFonts w:asciiTheme="minorEastAsia" w:hAnsiTheme="minorEastAsia" w:cstheme="minorEastAsia"/>
          <w:bCs/>
        </w:rPr>
        <w:t>3</w:t>
      </w:r>
      <w:r>
        <w:rPr>
          <w:rStyle w:val="17"/>
          <w:rFonts w:hint="eastAsia" w:asciiTheme="minorEastAsia" w:hAnsiTheme="minorEastAsia" w:cstheme="minorEastAsia"/>
          <w:b w:val="0"/>
        </w:rPr>
        <w:t>人组成，其中由福建省政府采购评审专家库产生的评审专家</w:t>
      </w:r>
      <w:r>
        <w:rPr>
          <w:rStyle w:val="17"/>
          <w:rFonts w:asciiTheme="minorEastAsia" w:hAnsiTheme="minorEastAsia" w:cstheme="minorEastAsia"/>
          <w:bCs/>
        </w:rPr>
        <w:t>2</w:t>
      </w:r>
      <w:r>
        <w:rPr>
          <w:rStyle w:val="17"/>
          <w:rFonts w:hint="eastAsia" w:asciiTheme="minorEastAsia" w:hAnsiTheme="minorEastAsia" w:cstheme="minorEastAsia"/>
          <w:b w:val="0"/>
        </w:rPr>
        <w:t>人，由采购人派出的采购人代表</w:t>
      </w:r>
      <w:r>
        <w:rPr>
          <w:rStyle w:val="17"/>
          <w:rFonts w:hint="eastAsia" w:asciiTheme="minorEastAsia" w:hAnsiTheme="minorEastAsia" w:cstheme="minorEastAsia"/>
          <w:bCs/>
          <w:lang w:val="en-US" w:eastAsia="zh-CN"/>
        </w:rPr>
        <w:t>1</w:t>
      </w:r>
      <w:r>
        <w:rPr>
          <w:rStyle w:val="17"/>
          <w:rFonts w:hint="eastAsia" w:asciiTheme="minorEastAsia" w:hAnsiTheme="minorEastAsia" w:cstheme="minorEastAsia"/>
          <w:b w:val="0"/>
        </w:rPr>
        <w:t>人。</w:t>
      </w:r>
    </w:p>
    <w:p>
      <w:pPr>
        <w:pStyle w:val="12"/>
        <w:widowControl/>
        <w:spacing w:beforeAutospacing="0" w:afterAutospacing="0" w:line="360" w:lineRule="auto"/>
        <w:ind w:firstLine="480" w:firstLineChars="200"/>
        <w:jc w:val="both"/>
        <w:rPr>
          <w:rStyle w:val="17"/>
          <w:rFonts w:asciiTheme="minorEastAsia" w:hAnsiTheme="minorEastAsia" w:cstheme="minorEastAsia"/>
          <w:b w:val="0"/>
        </w:rPr>
      </w:pPr>
      <w:r>
        <w:rPr>
          <w:rStyle w:val="17"/>
          <w:rFonts w:hint="eastAsia" w:asciiTheme="minorEastAsia" w:hAnsiTheme="minorEastAsia" w:cstheme="minorEastAsia"/>
          <w:b w:val="0"/>
        </w:rPr>
        <w:t>二、评审小组根据非标采购文件和供应商的响应文件进行评审，并可根据评审需要，要求供应商做出澄清和承诺。</w:t>
      </w:r>
    </w:p>
    <w:p>
      <w:pPr>
        <w:pStyle w:val="12"/>
        <w:widowControl/>
        <w:spacing w:beforeAutospacing="0" w:afterAutospacing="0" w:line="360" w:lineRule="auto"/>
        <w:ind w:firstLine="480" w:firstLineChars="200"/>
        <w:jc w:val="both"/>
        <w:rPr>
          <w:rStyle w:val="17"/>
          <w:rFonts w:asciiTheme="minorEastAsia" w:hAnsiTheme="minorEastAsia" w:cstheme="minorEastAsia"/>
          <w:b w:val="0"/>
        </w:rPr>
      </w:pPr>
      <w:r>
        <w:rPr>
          <w:rStyle w:val="17"/>
          <w:rFonts w:hint="eastAsia" w:asciiTheme="minorEastAsia" w:hAnsiTheme="minorEastAsia" w:cstheme="minorEastAsia"/>
          <w:b w:val="0"/>
        </w:rPr>
        <w:t>三、采购人监督代表对评审过程进行监督。</w:t>
      </w:r>
    </w:p>
    <w:p>
      <w:pPr>
        <w:pStyle w:val="12"/>
        <w:widowControl/>
        <w:spacing w:beforeAutospacing="0" w:afterAutospacing="0" w:line="360" w:lineRule="auto"/>
        <w:ind w:firstLine="480" w:firstLineChars="200"/>
        <w:jc w:val="both"/>
        <w:rPr>
          <w:rStyle w:val="17"/>
          <w:rFonts w:asciiTheme="minorEastAsia" w:hAnsiTheme="minorEastAsia" w:cstheme="minorEastAsia"/>
          <w:b w:val="0"/>
        </w:rPr>
      </w:pPr>
      <w:r>
        <w:rPr>
          <w:rStyle w:val="17"/>
          <w:rFonts w:hint="eastAsia" w:asciiTheme="minorEastAsia" w:hAnsiTheme="minorEastAsia" w:cstheme="minorEastAsia"/>
          <w:b w:val="0"/>
        </w:rPr>
        <w:t>四、采购文件规定供应商仅提交一次响应文件的项目，供应商首次提交的响应文件即视为最终报价和方案。</w:t>
      </w:r>
    </w:p>
    <w:p>
      <w:pPr>
        <w:pStyle w:val="12"/>
        <w:widowControl/>
        <w:spacing w:beforeAutospacing="0" w:afterAutospacing="0" w:line="360" w:lineRule="auto"/>
        <w:ind w:firstLine="480" w:firstLineChars="200"/>
        <w:jc w:val="both"/>
        <w:rPr>
          <w:rStyle w:val="17"/>
          <w:rFonts w:asciiTheme="minorEastAsia" w:hAnsiTheme="minorEastAsia" w:cstheme="minorEastAsia"/>
          <w:b w:val="0"/>
        </w:rPr>
      </w:pPr>
      <w:r>
        <w:rPr>
          <w:rStyle w:val="17"/>
          <w:rFonts w:hint="eastAsia" w:asciiTheme="minorEastAsia" w:hAnsiTheme="minorEastAsia" w:cstheme="minorEastAsia"/>
          <w:b w:val="0"/>
        </w:rPr>
        <w:t>五、</w:t>
      </w:r>
      <w:r>
        <w:rPr>
          <w:rFonts w:hint="eastAsia" w:asciiTheme="minorEastAsia" w:hAnsiTheme="minorEastAsia" w:cstheme="minorEastAsia"/>
          <w:b/>
          <w:color w:val="000000" w:themeColor="text1"/>
          <w:shd w:val="clear" w:color="auto" w:fill="FFFFFF"/>
          <w14:textFill>
            <w14:solidFill>
              <w14:schemeClr w14:val="tx1"/>
            </w14:solidFill>
          </w14:textFill>
        </w:rPr>
        <w:t>只有资格审查和实质性响应审查均合格且按规定提交最后报价的合格供应商才能参加综合评分</w:t>
      </w:r>
      <w:r>
        <w:rPr>
          <w:rFonts w:hint="eastAsia" w:asciiTheme="minorEastAsia" w:hAnsiTheme="minorEastAsia" w:cstheme="minorEastAsia"/>
          <w:b/>
        </w:rPr>
        <w:t>。</w:t>
      </w:r>
    </w:p>
    <w:p>
      <w:pPr>
        <w:pStyle w:val="12"/>
        <w:widowControl/>
        <w:spacing w:beforeAutospacing="0" w:afterAutospacing="0" w:line="360" w:lineRule="auto"/>
        <w:ind w:firstLine="480" w:firstLineChars="200"/>
        <w:jc w:val="both"/>
        <w:rPr>
          <w:rStyle w:val="17"/>
          <w:rFonts w:asciiTheme="minorEastAsia" w:hAnsiTheme="minorEastAsia" w:cstheme="minorEastAsia"/>
          <w:b w:val="0"/>
        </w:rPr>
      </w:pPr>
      <w:r>
        <w:rPr>
          <w:rStyle w:val="17"/>
          <w:rFonts w:hint="eastAsia" w:asciiTheme="minorEastAsia" w:hAnsiTheme="minorEastAsia" w:cstheme="minorEastAsia"/>
          <w:b w:val="0"/>
        </w:rPr>
        <w:t>（一）资格性审查。依据采购文件的规定，在对响应文件详细评估之前，评审小组将依据供应商提交的响应文件按供应商所述的资格标准对供应商进行资格审查，以确定其是否具备投标资格。如果供应商不具备投标资格，不满足采购文件所规定的资格标准或提供资格证明文件不全的, 其响应文件无效。</w:t>
      </w:r>
    </w:p>
    <w:p>
      <w:pPr>
        <w:pStyle w:val="12"/>
        <w:widowControl/>
        <w:spacing w:beforeAutospacing="0" w:afterAutospacing="0" w:line="360" w:lineRule="auto"/>
        <w:ind w:firstLine="480"/>
        <w:rPr>
          <w:rFonts w:asciiTheme="minorEastAsia" w:hAnsiTheme="minorEastAsia" w:cstheme="minorEastAsia"/>
        </w:rPr>
      </w:pPr>
      <w:r>
        <w:rPr>
          <w:rStyle w:val="17"/>
          <w:rFonts w:hint="eastAsia" w:asciiTheme="minorEastAsia" w:hAnsiTheme="minorEastAsia" w:cstheme="minorEastAsia"/>
          <w:b w:val="0"/>
        </w:rPr>
        <w:t>（二）</w:t>
      </w:r>
      <w:r>
        <w:rPr>
          <w:rFonts w:hint="eastAsia" w:asciiTheme="minorEastAsia" w:hAnsiTheme="minorEastAsia" w:cstheme="minorEastAsia"/>
        </w:rPr>
        <w:t>符合性检查。依据采购文件的规定，评审小组还将从响应文件的有效性、完整性和对采购文件的响应程度进行审查，以确定是否符合对采购文件的实质性要求作出响应。实质性偏离是指：（1）实质性影响合同的范围、质量和履行；（2）实质性违背采购文件，限制了采购人的权利和成交供应商合同项下的义务；（3）不公正地影响了其它作出实质性响应的供应商的竞争地位。对没有实质性响应的响应文件将不进行评估，</w:t>
      </w:r>
      <w:r>
        <w:rPr>
          <w:rStyle w:val="17"/>
          <w:rFonts w:hint="eastAsia" w:asciiTheme="minorEastAsia" w:hAnsiTheme="minorEastAsia" w:cstheme="minorEastAsia"/>
        </w:rPr>
        <w:t>其响应文件无效。</w:t>
      </w:r>
      <w:r>
        <w:rPr>
          <w:rFonts w:hint="eastAsia" w:asciiTheme="minorEastAsia" w:hAnsiTheme="minorEastAsia" w:cstheme="minorEastAsia"/>
        </w:rPr>
        <w:t>凡有下列情况之一者，响应文件也将被视为未实质性响应采购文件要求，</w:t>
      </w:r>
      <w:r>
        <w:rPr>
          <w:rStyle w:val="17"/>
          <w:rFonts w:hint="eastAsia" w:asciiTheme="minorEastAsia" w:hAnsiTheme="minorEastAsia" w:cstheme="minorEastAsia"/>
        </w:rPr>
        <w:t>其响应文件无效：</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1）供应商响应文件内容与采购内容及要求有重大偏离或保留的；</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2）供应商提交的是可选择的报价；</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3）一个供应商不止投一个标的；</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4）响应文件组成不符合采购文件要求的；</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5）响应文件中提供虚假或失实资料的；</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6）供应商的报价超过最高限价的；</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7）供应商存在串通报价行为的；</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8）商务要求不满足采购文件要求的；</w:t>
      </w:r>
    </w:p>
    <w:p>
      <w:pPr>
        <w:pStyle w:val="12"/>
        <w:widowControl/>
        <w:spacing w:beforeAutospacing="0" w:afterAutospacing="0" w:line="360" w:lineRule="auto"/>
        <w:ind w:firstLine="482"/>
        <w:rPr>
          <w:rFonts w:asciiTheme="minorEastAsia" w:hAnsiTheme="minorEastAsia" w:cstheme="minorEastAsia"/>
        </w:rPr>
      </w:pPr>
      <w:r>
        <w:rPr>
          <w:rStyle w:val="17"/>
          <w:rFonts w:hint="eastAsia" w:asciiTheme="minorEastAsia" w:hAnsiTheme="minorEastAsia" w:cstheme="minorEastAsia"/>
        </w:rPr>
        <w:t>9）供应商的报价明显低于其他报价，使得其报价可能低于其个别成本的，有可能影响商品质量或不能诚信履约的，但不能合理说明原因或不能提供相关证明材料的；</w:t>
      </w:r>
    </w:p>
    <w:p>
      <w:pPr>
        <w:pStyle w:val="12"/>
        <w:widowControl/>
        <w:spacing w:beforeAutospacing="0" w:afterAutospacing="0" w:line="360" w:lineRule="auto"/>
        <w:ind w:firstLine="482"/>
        <w:rPr>
          <w:rStyle w:val="17"/>
          <w:rFonts w:asciiTheme="minorEastAsia" w:hAnsiTheme="minorEastAsia" w:cstheme="minorEastAsia"/>
          <w:b w:val="0"/>
        </w:rPr>
      </w:pPr>
      <w:r>
        <w:rPr>
          <w:rStyle w:val="17"/>
          <w:rFonts w:hint="eastAsia" w:asciiTheme="minorEastAsia" w:hAnsiTheme="minorEastAsia" w:cstheme="minorEastAsia"/>
        </w:rPr>
        <w:t>10）不符合采购文件中规定的其它实质性条款；</w:t>
      </w:r>
    </w:p>
    <w:p>
      <w:pPr>
        <w:pStyle w:val="12"/>
        <w:widowControl/>
        <w:spacing w:beforeAutospacing="0" w:afterAutospacing="0" w:line="360" w:lineRule="auto"/>
        <w:ind w:firstLine="480" w:firstLineChars="200"/>
        <w:jc w:val="both"/>
        <w:rPr>
          <w:rStyle w:val="17"/>
          <w:rFonts w:asciiTheme="minorEastAsia" w:hAnsiTheme="minorEastAsia" w:cstheme="minorEastAsia"/>
          <w:b w:val="0"/>
        </w:rPr>
      </w:pPr>
      <w:r>
        <w:rPr>
          <w:rStyle w:val="17"/>
          <w:rFonts w:hint="eastAsia" w:asciiTheme="minorEastAsia" w:hAnsiTheme="minorEastAsia" w:cstheme="minorEastAsia"/>
          <w:b w:val="0"/>
        </w:rPr>
        <w:t>六、评审小组将采用综合评分法对提交合格供应商的响应文件和最后报价进行综合评分。具体综合评分的标准和方法如下：</w:t>
      </w:r>
    </w:p>
    <w:p>
      <w:pPr>
        <w:pStyle w:val="12"/>
        <w:widowControl/>
        <w:adjustRightInd w:val="0"/>
        <w:snapToGrid w:val="0"/>
        <w:spacing w:beforeAutospacing="0" w:afterAutospacing="0" w:line="360" w:lineRule="auto"/>
        <w:ind w:firstLine="480" w:firstLineChars="200"/>
        <w:rPr>
          <w:rFonts w:asciiTheme="minorEastAsia" w:hAnsiTheme="minorEastAsia" w:cstheme="minorEastAsia"/>
        </w:rPr>
      </w:pPr>
      <w:r>
        <w:rPr>
          <w:rFonts w:hint="eastAsia" w:asciiTheme="minorEastAsia" w:hAnsiTheme="minorEastAsia" w:cstheme="minorEastAsia"/>
          <w:shd w:val="clear" w:color="auto" w:fill="FFFFFF"/>
        </w:rPr>
        <w:t>（一）响应文件满足采购文件全部实质性要求，且按照评审因素的量化指标综合评审总得分从高到低顺序推荐3名成交候选人（</w:t>
      </w:r>
      <w:r>
        <w:rPr>
          <w:rFonts w:hint="eastAsia" w:asciiTheme="minorEastAsia" w:hAnsiTheme="minorEastAsia" w:cstheme="minorEastAsia"/>
          <w:highlight w:val="yellow"/>
          <w:shd w:val="clear" w:color="auto" w:fill="FFFFFF"/>
        </w:rPr>
        <w:t>本项目</w:t>
      </w:r>
      <w:r>
        <w:rPr>
          <w:rStyle w:val="17"/>
          <w:rFonts w:hint="eastAsia" w:asciiTheme="minorEastAsia" w:hAnsiTheme="minorEastAsia" w:cstheme="minorEastAsia"/>
          <w:b w:val="0"/>
          <w:bCs/>
          <w:highlight w:val="yellow"/>
        </w:rPr>
        <w:t>属于新一轮采购，若满足采购文件全部实质性要求的供应商为两家时，则可以按照综合评审得分从高到低顺序推荐2名成交候选人</w:t>
      </w:r>
      <w:r>
        <w:rPr>
          <w:rFonts w:hint="eastAsia" w:asciiTheme="minorEastAsia" w:hAnsiTheme="minorEastAsia" w:cstheme="minorEastAsia"/>
          <w:shd w:val="clear" w:color="auto" w:fill="FFFFFF"/>
        </w:rPr>
        <w:t>）。</w:t>
      </w:r>
    </w:p>
    <w:p>
      <w:pPr>
        <w:spacing w:line="360" w:lineRule="auto"/>
        <w:ind w:firstLine="547" w:firstLineChars="228"/>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sz w:val="24"/>
          <w:shd w:val="clear" w:color="auto" w:fill="FFFFFF"/>
          <w14:textFill>
            <w14:solidFill>
              <w14:schemeClr w14:val="tx1"/>
            </w14:solidFill>
          </w14:textFill>
        </w:rPr>
        <w:t>（二）</w:t>
      </w: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本项目总分100分，各部分评分分值分布如下：</w:t>
      </w:r>
    </w:p>
    <w:p>
      <w:pPr>
        <w:spacing w:line="360" w:lineRule="exact"/>
        <w:ind w:firstLine="602" w:firstLineChars="250"/>
        <w:rPr>
          <w:rFonts w:asciiTheme="minorEastAsia" w:hAnsiTheme="minorEastAsia" w:cstheme="minorEastAsia"/>
          <w:b/>
          <w:color w:val="000000" w:themeColor="text1"/>
          <w:kern w:val="0"/>
          <w:sz w:val="24"/>
          <w:shd w:val="clear" w:color="auto" w:fill="FFFFFF"/>
          <w14:textFill>
            <w14:solidFill>
              <w14:schemeClr w14:val="tx1"/>
            </w14:solidFill>
          </w14:textFill>
        </w:rPr>
      </w:pPr>
      <w:r>
        <w:rPr>
          <w:rStyle w:val="17"/>
          <w:rFonts w:hint="eastAsia" w:asciiTheme="minorEastAsia" w:hAnsiTheme="minorEastAsia" w:cstheme="minorEastAsia"/>
          <w:sz w:val="24"/>
          <w:shd w:val="clear" w:color="auto" w:fill="FFFFFF"/>
        </w:rPr>
        <w:t>PT</w:t>
      </w:r>
      <w:r>
        <w:rPr>
          <w:rFonts w:hint="eastAsia" w:asciiTheme="minorEastAsia" w:hAnsiTheme="minorEastAsia" w:cstheme="minorEastAsia"/>
          <w:b/>
          <w:color w:val="000000" w:themeColor="text1"/>
          <w:kern w:val="0"/>
          <w:sz w:val="24"/>
          <w:shd w:val="clear" w:color="auto" w:fill="FFFFFF"/>
          <w14:textFill>
            <w14:solidFill>
              <w14:schemeClr w14:val="tx1"/>
            </w14:solidFill>
          </w14:textFill>
        </w:rPr>
        <w:t>：技术部分评分         满分52分</w:t>
      </w:r>
    </w:p>
    <w:p>
      <w:pPr>
        <w:spacing w:line="360" w:lineRule="exact"/>
        <w:ind w:firstLine="602" w:firstLineChars="250"/>
        <w:rPr>
          <w:rFonts w:asciiTheme="minorEastAsia" w:hAnsiTheme="minorEastAsia" w:cstheme="minorEastAsia"/>
          <w:b/>
          <w:color w:val="000000" w:themeColor="text1"/>
          <w:kern w:val="0"/>
          <w:sz w:val="24"/>
          <w:shd w:val="clear" w:color="auto" w:fill="FFFFFF"/>
          <w14:textFill>
            <w14:solidFill>
              <w14:schemeClr w14:val="tx1"/>
            </w14:solidFill>
          </w14:textFill>
        </w:rPr>
      </w:pPr>
      <w:r>
        <w:rPr>
          <w:rStyle w:val="17"/>
          <w:rFonts w:hint="eastAsia" w:asciiTheme="minorEastAsia" w:hAnsiTheme="minorEastAsia" w:cstheme="minorEastAsia"/>
          <w:sz w:val="24"/>
          <w:shd w:val="clear" w:color="auto" w:fill="FFFFFF"/>
        </w:rPr>
        <w:t>PB</w:t>
      </w:r>
      <w:r>
        <w:rPr>
          <w:rFonts w:hint="eastAsia" w:asciiTheme="minorEastAsia" w:hAnsiTheme="minorEastAsia" w:cstheme="minorEastAsia"/>
          <w:b/>
          <w:color w:val="000000" w:themeColor="text1"/>
          <w:kern w:val="0"/>
          <w:sz w:val="24"/>
          <w:shd w:val="clear" w:color="auto" w:fill="FFFFFF"/>
          <w14:textFill>
            <w14:solidFill>
              <w14:schemeClr w14:val="tx1"/>
            </w14:solidFill>
          </w14:textFill>
        </w:rPr>
        <w:t>：商务部分评分         满分18分</w:t>
      </w:r>
    </w:p>
    <w:p>
      <w:pPr>
        <w:spacing w:line="360" w:lineRule="exact"/>
        <w:ind w:firstLine="602" w:firstLineChars="250"/>
        <w:rPr>
          <w:rFonts w:asciiTheme="minorEastAsia" w:hAnsiTheme="minorEastAsia" w:cstheme="minorEastAsia"/>
          <w:b/>
          <w:color w:val="000000" w:themeColor="text1"/>
          <w:kern w:val="0"/>
          <w:sz w:val="24"/>
          <w:shd w:val="clear" w:color="auto" w:fill="FFFFFF"/>
          <w14:textFill>
            <w14:solidFill>
              <w14:schemeClr w14:val="tx1"/>
            </w14:solidFill>
          </w14:textFill>
        </w:rPr>
      </w:pPr>
      <w:r>
        <w:rPr>
          <w:rStyle w:val="17"/>
          <w:rFonts w:hint="eastAsia" w:asciiTheme="minorEastAsia" w:hAnsiTheme="minorEastAsia" w:cstheme="minorEastAsia"/>
          <w:sz w:val="24"/>
          <w:shd w:val="clear" w:color="auto" w:fill="FFFFFF"/>
        </w:rPr>
        <w:t>PF</w:t>
      </w:r>
      <w:r>
        <w:rPr>
          <w:rFonts w:hint="eastAsia" w:asciiTheme="minorEastAsia" w:hAnsiTheme="minorEastAsia" w:cstheme="minorEastAsia"/>
          <w:b/>
          <w:color w:val="000000" w:themeColor="text1"/>
          <w:kern w:val="0"/>
          <w:sz w:val="24"/>
          <w:shd w:val="clear" w:color="auto" w:fill="FFFFFF"/>
          <w14:textFill>
            <w14:solidFill>
              <w14:schemeClr w14:val="tx1"/>
            </w14:solidFill>
          </w14:textFill>
        </w:rPr>
        <w:t>：报价部分评分         满分30分</w:t>
      </w:r>
    </w:p>
    <w:p>
      <w:pPr>
        <w:spacing w:line="360" w:lineRule="exact"/>
        <w:ind w:firstLine="480" w:firstLineChars="200"/>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合格供应商PT、PB部分的最终得分取各个评委的评分的平均值，并四舍五入取小数点后的2位数。</w:t>
      </w:r>
    </w:p>
    <w:p>
      <w:pPr>
        <w:spacing w:line="360" w:lineRule="exact"/>
        <w:ind w:firstLine="480" w:firstLineChars="200"/>
        <w:rPr>
          <w:rFonts w:asciiTheme="minorEastAsia" w:hAnsiTheme="minorEastAsia" w:cstheme="minorEastAsia"/>
          <w:color w:val="000000" w:themeColor="text1"/>
          <w:kern w:val="0"/>
          <w:sz w:val="24"/>
          <w:shd w:val="clear" w:color="auto" w:fill="FFFFFF"/>
          <w14:textFill>
            <w14:solidFill>
              <w14:schemeClr w14:val="tx1"/>
            </w14:solidFill>
          </w14:textFill>
        </w:rPr>
      </w:pPr>
      <w:r>
        <w:rPr>
          <w:rFonts w:hint="eastAsia" w:asciiTheme="minorEastAsia" w:hAnsiTheme="minorEastAsia" w:cstheme="minorEastAsia"/>
          <w:color w:val="000000" w:themeColor="text1"/>
          <w:kern w:val="0"/>
          <w:sz w:val="24"/>
          <w:shd w:val="clear" w:color="auto" w:fill="FFFFFF"/>
          <w14:textFill>
            <w14:solidFill>
              <w14:schemeClr w14:val="tx1"/>
            </w14:solidFill>
          </w14:textFill>
        </w:rPr>
        <w:t>各合格供应商综合得分：P=PT＋PB+PF</w:t>
      </w:r>
    </w:p>
    <w:p>
      <w:pPr>
        <w:pStyle w:val="12"/>
        <w:widowControl/>
        <w:adjustRightInd w:val="0"/>
        <w:snapToGrid w:val="0"/>
        <w:spacing w:beforeAutospacing="0" w:afterAutospacing="0" w:line="500" w:lineRule="exact"/>
        <w:ind w:firstLine="482" w:firstLineChars="200"/>
        <w:rPr>
          <w:rStyle w:val="17"/>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1.</w:t>
      </w:r>
      <w:r>
        <w:rPr>
          <w:rStyle w:val="17"/>
          <w:rFonts w:hint="eastAsia" w:asciiTheme="minorEastAsia" w:hAnsiTheme="minorEastAsia" w:cstheme="minorEastAsia"/>
          <w:bCs/>
          <w:color w:val="000000" w:themeColor="text1"/>
          <w14:textFill>
            <w14:solidFill>
              <w14:schemeClr w14:val="tx1"/>
            </w14:solidFill>
          </w14:textFill>
        </w:rPr>
        <w:t>技术部分评分</w:t>
      </w:r>
      <w:r>
        <w:rPr>
          <w:rStyle w:val="17"/>
          <w:rFonts w:hint="eastAsia" w:asciiTheme="minorEastAsia" w:hAnsiTheme="minorEastAsia" w:cstheme="minorEastAsia"/>
          <w:shd w:val="clear" w:color="auto" w:fill="FFFFFF"/>
        </w:rPr>
        <w:t>PT</w:t>
      </w:r>
      <w:r>
        <w:rPr>
          <w:rStyle w:val="17"/>
          <w:rFonts w:hint="eastAsia" w:asciiTheme="minorEastAsia" w:hAnsiTheme="minorEastAsia" w:cstheme="minorEastAsia"/>
          <w:bCs/>
          <w:color w:val="000000" w:themeColor="text1"/>
          <w14:textFill>
            <w14:solidFill>
              <w14:schemeClr w14:val="tx1"/>
            </w14:solidFill>
          </w14:textFill>
        </w:rPr>
        <w:t>    </w:t>
      </w:r>
      <w:r>
        <w:rPr>
          <w:rStyle w:val="17"/>
          <w:rFonts w:hint="eastAsia" w:asciiTheme="minorEastAsia" w:hAnsiTheme="minorEastAsia" w:cstheme="minorEastAsia"/>
          <w:shd w:val="clear" w:color="auto" w:fill="FFFFFF"/>
        </w:rPr>
        <w:t>满分</w:t>
      </w:r>
      <w:r>
        <w:rPr>
          <w:rStyle w:val="17"/>
          <w:rFonts w:hint="eastAsia" w:asciiTheme="minorEastAsia" w:hAnsiTheme="minorEastAsia" w:cstheme="minorEastAsia"/>
          <w:u w:val="single"/>
          <w:shd w:val="clear" w:color="auto" w:fill="FFFFFF"/>
        </w:rPr>
        <w:t>52</w:t>
      </w:r>
      <w:r>
        <w:rPr>
          <w:rStyle w:val="17"/>
          <w:rFonts w:hint="eastAsia" w:asciiTheme="minorEastAsia" w:hAnsiTheme="minorEastAsia" w:cstheme="minorEastAsia"/>
          <w:shd w:val="clear" w:color="auto" w:fill="FFFFFF"/>
        </w:rPr>
        <w:t>分</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3"/>
        <w:gridCol w:w="813"/>
        <w:gridCol w:w="61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blHeader/>
        </w:trPr>
        <w:tc>
          <w:tcPr>
            <w:tcW w:w="1353" w:type="dxa"/>
            <w:vAlign w:val="center"/>
          </w:tcPr>
          <w:p>
            <w:pPr>
              <w:pStyle w:val="37"/>
              <w:contextualSpacing/>
              <w:jc w:val="center"/>
              <w:rPr>
                <w:rFonts w:hint="default" w:asciiTheme="minorEastAsia" w:hAnsiTheme="minorEastAsia" w:cstheme="minorEastAsia"/>
                <w:b/>
                <w:bCs/>
                <w:sz w:val="21"/>
                <w:szCs w:val="21"/>
              </w:rPr>
            </w:pPr>
            <w:r>
              <w:rPr>
                <w:rFonts w:asciiTheme="minorEastAsia" w:hAnsiTheme="minorEastAsia" w:cstheme="minorEastAsia"/>
                <w:b/>
                <w:bCs/>
                <w:sz w:val="21"/>
                <w:szCs w:val="21"/>
              </w:rPr>
              <w:t>项目</w:t>
            </w:r>
          </w:p>
        </w:tc>
        <w:tc>
          <w:tcPr>
            <w:tcW w:w="813" w:type="dxa"/>
            <w:vAlign w:val="center"/>
          </w:tcPr>
          <w:p>
            <w:pPr>
              <w:pStyle w:val="37"/>
              <w:contextualSpacing/>
              <w:jc w:val="center"/>
              <w:rPr>
                <w:rFonts w:hint="default" w:asciiTheme="minorEastAsia" w:hAnsiTheme="minorEastAsia" w:cstheme="minorEastAsia"/>
                <w:b/>
                <w:bCs/>
                <w:sz w:val="21"/>
                <w:szCs w:val="21"/>
              </w:rPr>
            </w:pPr>
            <w:r>
              <w:rPr>
                <w:rFonts w:asciiTheme="minorEastAsia" w:hAnsiTheme="minorEastAsia" w:cstheme="minorEastAsia"/>
                <w:b/>
                <w:bCs/>
                <w:sz w:val="21"/>
                <w:szCs w:val="21"/>
              </w:rPr>
              <w:t>分值</w:t>
            </w:r>
          </w:p>
        </w:tc>
        <w:tc>
          <w:tcPr>
            <w:tcW w:w="6140" w:type="dxa"/>
            <w:vAlign w:val="center"/>
          </w:tcPr>
          <w:p>
            <w:pPr>
              <w:pStyle w:val="37"/>
              <w:contextualSpacing/>
              <w:jc w:val="center"/>
              <w:rPr>
                <w:rFonts w:hint="default" w:asciiTheme="minorEastAsia" w:hAnsiTheme="minorEastAsia" w:cstheme="minorEastAsia"/>
                <w:b/>
                <w:bCs/>
                <w:sz w:val="21"/>
                <w:szCs w:val="21"/>
              </w:rPr>
            </w:pPr>
            <w:r>
              <w:rPr>
                <w:rFonts w:asciiTheme="minorEastAsia" w:hAnsiTheme="minorEastAsia" w:cstheme="minorEastAsia"/>
                <w:b/>
                <w:bCs/>
                <w:sz w:val="21"/>
                <w:szCs w:val="21"/>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1353" w:type="dxa"/>
            <w:vAlign w:val="center"/>
          </w:tcPr>
          <w:p>
            <w:pPr>
              <w:rPr>
                <w:rFonts w:asciiTheme="minorEastAsia" w:hAnsiTheme="minorEastAsia" w:cstheme="minorEastAsia"/>
                <w:szCs w:val="21"/>
              </w:rPr>
            </w:pPr>
            <w:r>
              <w:rPr>
                <w:rFonts w:hint="eastAsia" w:asciiTheme="minorEastAsia" w:hAnsiTheme="minorEastAsia" w:cstheme="minorEastAsia"/>
                <w:szCs w:val="21"/>
              </w:rPr>
              <w:t>项目经理</w:t>
            </w:r>
          </w:p>
        </w:tc>
        <w:tc>
          <w:tcPr>
            <w:tcW w:w="813" w:type="dxa"/>
            <w:vAlign w:val="center"/>
          </w:tcPr>
          <w:p>
            <w:pPr>
              <w:pStyle w:val="37"/>
              <w:jc w:val="center"/>
              <w:rPr>
                <w:rFonts w:hint="default" w:asciiTheme="minorEastAsia" w:hAnsiTheme="minorEastAsia" w:cstheme="minorEastAsia"/>
                <w:kern w:val="2"/>
                <w:sz w:val="21"/>
                <w:szCs w:val="21"/>
                <w:lang w:eastAsia="zh-CN"/>
              </w:rPr>
            </w:pPr>
            <w:r>
              <w:rPr>
                <w:rFonts w:asciiTheme="minorEastAsia" w:hAnsiTheme="minorEastAsia" w:cstheme="minorEastAsia"/>
                <w:kern w:val="2"/>
                <w:sz w:val="21"/>
                <w:szCs w:val="21"/>
                <w:lang w:eastAsia="zh-CN"/>
              </w:rPr>
              <w:t>6.00</w:t>
            </w:r>
          </w:p>
        </w:tc>
        <w:tc>
          <w:tcPr>
            <w:tcW w:w="6140" w:type="dxa"/>
            <w:vAlign w:val="center"/>
          </w:tcPr>
          <w:p>
            <w:pPr>
              <w:contextualSpacing/>
              <w:rPr>
                <w:rFonts w:asciiTheme="minorEastAsia" w:hAnsiTheme="minorEastAsia" w:cstheme="minorEastAsia"/>
                <w:szCs w:val="21"/>
              </w:rPr>
            </w:pPr>
            <w:r>
              <w:rPr>
                <w:rFonts w:hint="eastAsia" w:asciiTheme="minorEastAsia" w:hAnsiTheme="minorEastAsia" w:cstheme="minorEastAsia"/>
                <w:szCs w:val="21"/>
              </w:rPr>
              <w:t>供应商承诺在合同有效期内为本项目提供常驻项目经理1人，完全满足以下2项条件的，得6分，缺其中1项条件，扣3分。须提供证书复印件，否则不得分。</w:t>
            </w:r>
          </w:p>
          <w:p>
            <w:pPr>
              <w:contextualSpacing/>
              <w:rPr>
                <w:rFonts w:asciiTheme="minorEastAsia" w:hAnsiTheme="minorEastAsia" w:cstheme="minorEastAsia"/>
                <w:szCs w:val="21"/>
              </w:rPr>
            </w:pPr>
            <w:r>
              <w:rPr>
                <w:rFonts w:hint="eastAsia" w:asciiTheme="minorEastAsia" w:hAnsiTheme="minorEastAsia" w:cstheme="minorEastAsia"/>
                <w:szCs w:val="21"/>
              </w:rPr>
              <w:t>（1）具备有效的信息系统项目管理师认证或PMP认证证书；</w:t>
            </w:r>
          </w:p>
          <w:p>
            <w:pPr>
              <w:contextualSpacing/>
              <w:rPr>
                <w:rFonts w:asciiTheme="minorEastAsia" w:hAnsiTheme="minorEastAsia" w:cstheme="minorEastAsia"/>
                <w:szCs w:val="21"/>
              </w:rPr>
            </w:pPr>
            <w:r>
              <w:rPr>
                <w:rFonts w:hint="eastAsia" w:asciiTheme="minorEastAsia" w:hAnsiTheme="minorEastAsia" w:cstheme="minorEastAsia"/>
                <w:szCs w:val="21"/>
              </w:rPr>
              <w:t>（2）具备有效的注册信息安全专业人员（CISP）认证证书。</w:t>
            </w:r>
          </w:p>
          <w:p>
            <w:pPr>
              <w:contextualSpacing/>
              <w:rPr>
                <w:rFonts w:asciiTheme="minorEastAsia" w:hAnsiTheme="minorEastAsia" w:cstheme="minorEastAsia"/>
                <w:szCs w:val="21"/>
              </w:rPr>
            </w:pPr>
            <w:r>
              <w:rPr>
                <w:rFonts w:hint="eastAsia" w:asciiTheme="minorEastAsia" w:hAnsiTheme="minorEastAsia" w:cstheme="minorEastAsia"/>
                <w:szCs w:val="21"/>
              </w:rPr>
              <w:t>注：供应商需提供相应承诺函，人员名单、身份证明、近6个月任意一个月社保缴纳证明及相关专业证书复印件并加盖公章。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1353" w:type="dxa"/>
            <w:vAlign w:val="center"/>
          </w:tcPr>
          <w:p>
            <w:pPr>
              <w:rPr>
                <w:rFonts w:asciiTheme="minorEastAsia" w:hAnsiTheme="minorEastAsia" w:cstheme="minorEastAsia"/>
                <w:szCs w:val="21"/>
              </w:rPr>
            </w:pPr>
            <w:r>
              <w:rPr>
                <w:rFonts w:hint="eastAsia" w:asciiTheme="minorEastAsia" w:hAnsiTheme="minorEastAsia" w:cstheme="minorEastAsia"/>
                <w:szCs w:val="21"/>
              </w:rPr>
              <w:t>技术经理</w:t>
            </w:r>
          </w:p>
        </w:tc>
        <w:tc>
          <w:tcPr>
            <w:tcW w:w="813" w:type="dxa"/>
            <w:vAlign w:val="center"/>
          </w:tcPr>
          <w:p>
            <w:pPr>
              <w:pStyle w:val="37"/>
              <w:jc w:val="center"/>
              <w:rPr>
                <w:rFonts w:hint="default" w:asciiTheme="minorEastAsia" w:hAnsiTheme="minorEastAsia" w:cstheme="minorEastAsia"/>
                <w:kern w:val="2"/>
                <w:sz w:val="21"/>
                <w:szCs w:val="21"/>
                <w:lang w:eastAsia="zh-CN"/>
              </w:rPr>
            </w:pPr>
            <w:r>
              <w:rPr>
                <w:rFonts w:asciiTheme="minorEastAsia" w:hAnsiTheme="minorEastAsia" w:cstheme="minorEastAsia"/>
                <w:kern w:val="2"/>
                <w:sz w:val="21"/>
                <w:szCs w:val="21"/>
                <w:lang w:eastAsia="zh-CN"/>
              </w:rPr>
              <w:t>6.00</w:t>
            </w:r>
          </w:p>
        </w:tc>
        <w:tc>
          <w:tcPr>
            <w:tcW w:w="6140" w:type="dxa"/>
            <w:vAlign w:val="center"/>
          </w:tcPr>
          <w:p>
            <w:pPr>
              <w:contextualSpacing/>
              <w:rPr>
                <w:rFonts w:asciiTheme="minorEastAsia" w:hAnsiTheme="minorEastAsia" w:cstheme="minorEastAsia"/>
                <w:szCs w:val="21"/>
              </w:rPr>
            </w:pPr>
            <w:r>
              <w:rPr>
                <w:rFonts w:hint="eastAsia" w:asciiTheme="minorEastAsia" w:hAnsiTheme="minorEastAsia" w:cstheme="minorEastAsia"/>
                <w:szCs w:val="21"/>
              </w:rPr>
              <w:t>供应商承诺在合同有效期内为本项目提供常驻技术经理1人（不与项目经理重复），完全满足以下3项条件的，得6分，缺其中1项条件，扣2分。须提供证书复印件，否则不得分。</w:t>
            </w:r>
          </w:p>
          <w:p>
            <w:pPr>
              <w:contextualSpacing/>
              <w:rPr>
                <w:rFonts w:asciiTheme="minorEastAsia" w:hAnsiTheme="minorEastAsia" w:cstheme="minorEastAsia"/>
                <w:szCs w:val="21"/>
              </w:rPr>
            </w:pPr>
            <w:r>
              <w:rPr>
                <w:rFonts w:hint="eastAsia" w:asciiTheme="minorEastAsia" w:hAnsiTheme="minorEastAsia" w:cstheme="minorEastAsia"/>
                <w:szCs w:val="21"/>
              </w:rPr>
              <w:t>（1）具备IT服务项目经理认证证书；</w:t>
            </w:r>
          </w:p>
          <w:p>
            <w:pPr>
              <w:contextualSpacing/>
              <w:rPr>
                <w:rFonts w:asciiTheme="minorEastAsia" w:hAnsiTheme="minorEastAsia" w:cstheme="minorEastAsia"/>
                <w:szCs w:val="21"/>
              </w:rPr>
            </w:pPr>
            <w:r>
              <w:rPr>
                <w:rFonts w:hint="eastAsia" w:asciiTheme="minorEastAsia" w:hAnsiTheme="minorEastAsia" w:cstheme="minorEastAsia"/>
                <w:szCs w:val="21"/>
              </w:rPr>
              <w:t>（2）具备网络工程师认证证书；</w:t>
            </w:r>
          </w:p>
          <w:p>
            <w:pPr>
              <w:contextualSpacing/>
              <w:rPr>
                <w:rFonts w:asciiTheme="minorEastAsia" w:hAnsiTheme="minorEastAsia" w:cstheme="minorEastAsia"/>
                <w:szCs w:val="21"/>
              </w:rPr>
            </w:pPr>
            <w:r>
              <w:rPr>
                <w:rFonts w:hint="eastAsia" w:asciiTheme="minorEastAsia" w:hAnsiTheme="minorEastAsia" w:cstheme="minorEastAsia"/>
                <w:szCs w:val="21"/>
              </w:rPr>
              <w:t>（3）具备华为云/阿里云/天翼云/腾讯云等任一主流云商中级及以上认证证书。</w:t>
            </w:r>
          </w:p>
          <w:p>
            <w:pPr>
              <w:contextualSpacing/>
              <w:rPr>
                <w:rFonts w:asciiTheme="minorEastAsia" w:hAnsiTheme="minorEastAsia" w:cstheme="minorEastAsia"/>
                <w:szCs w:val="21"/>
              </w:rPr>
            </w:pPr>
            <w:r>
              <w:rPr>
                <w:rFonts w:hint="eastAsia" w:asciiTheme="minorEastAsia" w:hAnsiTheme="minorEastAsia" w:cstheme="minorEastAsia"/>
                <w:szCs w:val="21"/>
              </w:rPr>
              <w:t>注：供应商须提供相应承诺函，人员名单、身份证明、近6个月任意一个月社保缴纳证明及相关专业证书复印件并加盖公章。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1353" w:type="dxa"/>
            <w:vAlign w:val="center"/>
          </w:tcPr>
          <w:p>
            <w:pPr>
              <w:rPr>
                <w:rFonts w:asciiTheme="minorEastAsia" w:hAnsiTheme="minorEastAsia" w:cstheme="minorEastAsia"/>
                <w:szCs w:val="21"/>
              </w:rPr>
            </w:pPr>
            <w:r>
              <w:rPr>
                <w:rFonts w:hint="eastAsia" w:asciiTheme="minorEastAsia" w:hAnsiTheme="minorEastAsia" w:cstheme="minorEastAsia"/>
                <w:szCs w:val="21"/>
              </w:rPr>
              <w:t>服务方案响应</w:t>
            </w:r>
          </w:p>
        </w:tc>
        <w:tc>
          <w:tcPr>
            <w:tcW w:w="813" w:type="dxa"/>
            <w:vAlign w:val="center"/>
          </w:tcPr>
          <w:p>
            <w:pPr>
              <w:pStyle w:val="37"/>
              <w:jc w:val="center"/>
              <w:rPr>
                <w:rFonts w:hint="default" w:asciiTheme="minorEastAsia" w:hAnsiTheme="minorEastAsia" w:cstheme="minorEastAsia"/>
                <w:kern w:val="2"/>
                <w:sz w:val="21"/>
                <w:szCs w:val="21"/>
                <w:lang w:eastAsia="zh-CN"/>
              </w:rPr>
            </w:pPr>
            <w:r>
              <w:rPr>
                <w:rFonts w:asciiTheme="minorEastAsia" w:hAnsiTheme="minorEastAsia" w:cstheme="minorEastAsia"/>
                <w:kern w:val="2"/>
                <w:sz w:val="21"/>
                <w:szCs w:val="21"/>
                <w:lang w:eastAsia="zh-CN"/>
              </w:rPr>
              <w:t>10.00</w:t>
            </w:r>
          </w:p>
        </w:tc>
        <w:tc>
          <w:tcPr>
            <w:tcW w:w="6140" w:type="dxa"/>
            <w:vAlign w:val="center"/>
          </w:tcPr>
          <w:p>
            <w:pPr>
              <w:contextualSpacing/>
              <w:rPr>
                <w:rFonts w:asciiTheme="minorEastAsia" w:hAnsiTheme="minorEastAsia" w:cstheme="minorEastAsia"/>
                <w:szCs w:val="21"/>
                <w:lang w:val="zh-CN"/>
              </w:rPr>
            </w:pPr>
            <w:r>
              <w:rPr>
                <w:rFonts w:hint="eastAsia" w:asciiTheme="minorEastAsia" w:hAnsiTheme="minorEastAsia" w:cstheme="minorEastAsia"/>
                <w:szCs w:val="21"/>
                <w:lang w:val="zh-CN"/>
              </w:rPr>
              <w:t>对采购文件要求的服务及配置方案的整体响应和满足情况、理解程度、重难点分析等，包括但不限于</w:t>
            </w:r>
            <w:r>
              <w:rPr>
                <w:rFonts w:hint="eastAsia" w:asciiTheme="minorEastAsia" w:hAnsiTheme="minorEastAsia" w:cstheme="minorEastAsia"/>
                <w:szCs w:val="21"/>
              </w:rPr>
              <w:t>数据中心运维、校园网络运维、教室及会议场所保障、智能化系统运维、用户技术支持服务、运维体系建设服务、IT资产调查、其它配合支持服务、运维清单响应及驻场服务等</w:t>
            </w:r>
            <w:r>
              <w:rPr>
                <w:rFonts w:hint="eastAsia" w:asciiTheme="minorEastAsia" w:hAnsiTheme="minorEastAsia" w:cstheme="minorEastAsia"/>
                <w:szCs w:val="21"/>
                <w:lang w:val="zh-CN"/>
              </w:rPr>
              <w:t>。</w:t>
            </w:r>
          </w:p>
          <w:p>
            <w:pPr>
              <w:contextualSpacing/>
              <w:rPr>
                <w:rFonts w:asciiTheme="minorEastAsia" w:hAnsiTheme="minorEastAsia" w:cstheme="minorEastAsia"/>
                <w:szCs w:val="21"/>
              </w:rPr>
            </w:pPr>
            <w:r>
              <w:rPr>
                <w:rFonts w:hint="eastAsia" w:asciiTheme="minorEastAsia" w:hAnsiTheme="minorEastAsia" w:cstheme="minorEastAsia"/>
                <w:szCs w:val="21"/>
                <w:lang w:val="zh-TW"/>
              </w:rPr>
              <w:t>对上述全部内容进行阐述，表述清晰、</w:t>
            </w:r>
            <w:r>
              <w:rPr>
                <w:rFonts w:hint="eastAsia" w:asciiTheme="minorEastAsia" w:hAnsiTheme="minorEastAsia" w:cstheme="minorEastAsia"/>
                <w:szCs w:val="21"/>
                <w:lang w:val="zh-CN"/>
              </w:rPr>
              <w:t>响应完整、涵盖范围全面、分析得当，技术服务好、配置高、服务综合能力强、无漏项或瑕疵，得</w:t>
            </w:r>
            <w:r>
              <w:rPr>
                <w:rFonts w:hint="eastAsia" w:asciiTheme="minorEastAsia" w:hAnsiTheme="minorEastAsia" w:cstheme="minorEastAsia"/>
                <w:szCs w:val="21"/>
              </w:rPr>
              <w:t>10</w:t>
            </w:r>
            <w:r>
              <w:rPr>
                <w:rFonts w:hint="eastAsia" w:asciiTheme="minorEastAsia" w:hAnsiTheme="minorEastAsia" w:cstheme="minorEastAsia"/>
                <w:szCs w:val="21"/>
                <w:lang w:val="zh-CN"/>
              </w:rPr>
              <w:t>分；</w:t>
            </w:r>
            <w:r>
              <w:rPr>
                <w:rFonts w:hint="eastAsia" w:asciiTheme="minorEastAsia" w:hAnsiTheme="minorEastAsia" w:cstheme="minorEastAsia"/>
                <w:szCs w:val="21"/>
                <w:lang w:val="zh-TW"/>
              </w:rPr>
              <w:t>每有</w:t>
            </w:r>
            <w:r>
              <w:rPr>
                <w:rFonts w:hint="eastAsia" w:asciiTheme="minorEastAsia" w:hAnsiTheme="minorEastAsia" w:cstheme="minorEastAsia"/>
                <w:szCs w:val="21"/>
              </w:rPr>
              <w:t>1</w:t>
            </w:r>
            <w:r>
              <w:rPr>
                <w:rFonts w:hint="eastAsia" w:asciiTheme="minorEastAsia" w:hAnsiTheme="minorEastAsia" w:cstheme="minorEastAsia"/>
                <w:szCs w:val="21"/>
                <w:lang w:val="zh-TW"/>
              </w:rPr>
              <w:t>个漏项或存在</w:t>
            </w:r>
            <w:r>
              <w:rPr>
                <w:rFonts w:hint="eastAsia" w:asciiTheme="minorEastAsia" w:hAnsiTheme="minorEastAsia" w:cstheme="minorEastAsia"/>
                <w:szCs w:val="21"/>
              </w:rPr>
              <w:t>1</w:t>
            </w:r>
            <w:r>
              <w:rPr>
                <w:rFonts w:hint="eastAsia" w:asciiTheme="minorEastAsia" w:hAnsiTheme="minorEastAsia" w:cstheme="minorEastAsia"/>
                <w:szCs w:val="21"/>
                <w:lang w:val="zh-TW"/>
              </w:rPr>
              <w:t>处瑕疵，减</w:t>
            </w:r>
            <w:r>
              <w:rPr>
                <w:rFonts w:hint="eastAsia" w:asciiTheme="minorEastAsia" w:hAnsiTheme="minorEastAsia" w:cstheme="minorEastAsia"/>
                <w:szCs w:val="21"/>
              </w:rPr>
              <w:t>2</w:t>
            </w:r>
            <w:r>
              <w:rPr>
                <w:rFonts w:hint="eastAsia" w:asciiTheme="minorEastAsia" w:hAnsiTheme="minorEastAsia" w:cstheme="minorEastAsia"/>
                <w:szCs w:val="21"/>
                <w:lang w:val="zh-TW"/>
              </w:rPr>
              <w:t>分，最低得</w:t>
            </w:r>
            <w:r>
              <w:rPr>
                <w:rFonts w:hint="eastAsia" w:asciiTheme="minorEastAsia" w:hAnsiTheme="minorEastAsia" w:cstheme="minorEastAsia"/>
                <w:szCs w:val="21"/>
              </w:rPr>
              <w:t>0</w:t>
            </w:r>
            <w:r>
              <w:rPr>
                <w:rFonts w:hint="eastAsia" w:asciiTheme="minorEastAsia" w:hAnsiTheme="minorEastAsia" w:cstheme="minorEastAsia"/>
                <w:szCs w:val="21"/>
                <w:lang w:val="zh-TW"/>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1353" w:type="dxa"/>
            <w:vAlign w:val="center"/>
          </w:tcPr>
          <w:p>
            <w:pPr>
              <w:widowControl/>
              <w:jc w:val="left"/>
              <w:rPr>
                <w:rFonts w:asciiTheme="minorEastAsia" w:hAnsiTheme="minorEastAsia" w:cstheme="minorEastAsia"/>
                <w:szCs w:val="21"/>
              </w:rPr>
            </w:pPr>
            <w:r>
              <w:rPr>
                <w:rFonts w:hint="eastAsia" w:asciiTheme="minorEastAsia" w:hAnsiTheme="minorEastAsia" w:cstheme="minorEastAsia"/>
                <w:szCs w:val="21"/>
              </w:rPr>
              <w:t>信息化运维服务体系建设方案</w:t>
            </w:r>
          </w:p>
        </w:tc>
        <w:tc>
          <w:tcPr>
            <w:tcW w:w="813" w:type="dxa"/>
            <w:vAlign w:val="center"/>
          </w:tcPr>
          <w:p>
            <w:pPr>
              <w:widowControl/>
              <w:jc w:val="left"/>
              <w:rPr>
                <w:rFonts w:asciiTheme="minorEastAsia" w:hAnsiTheme="minorEastAsia" w:cstheme="minorEastAsia"/>
                <w:szCs w:val="21"/>
              </w:rPr>
            </w:pPr>
            <w:r>
              <w:rPr>
                <w:rFonts w:hint="eastAsia" w:asciiTheme="minorEastAsia" w:hAnsiTheme="minorEastAsia" w:cstheme="minorEastAsia"/>
                <w:szCs w:val="21"/>
              </w:rPr>
              <w:t>10.00</w:t>
            </w:r>
          </w:p>
        </w:tc>
        <w:tc>
          <w:tcPr>
            <w:tcW w:w="6140" w:type="dxa"/>
            <w:vAlign w:val="center"/>
          </w:tcPr>
          <w:p>
            <w:pPr>
              <w:contextualSpacing/>
              <w:rPr>
                <w:rFonts w:asciiTheme="minorEastAsia" w:hAnsiTheme="minorEastAsia" w:cstheme="minorEastAsia"/>
                <w:szCs w:val="21"/>
              </w:rPr>
            </w:pPr>
            <w:r>
              <w:rPr>
                <w:rFonts w:hint="eastAsia" w:asciiTheme="minorEastAsia" w:hAnsiTheme="minorEastAsia" w:cstheme="minorEastAsia"/>
                <w:szCs w:val="21"/>
              </w:rPr>
              <w:t>以国际ITIL和国内ITSS理念为指导思想，以主动服务为导向。在此基础上，结合学院的实际和发展，帮助学院完善运维服务体系和运维平台，制定符合实际需求的信息化运维服务体系建设方案，包括但不限于完善运维服务制度和流程、规范运维服务组织和队伍的职责分工、规范运维服务工作流程、完善运维技术服务平台、梳理服务目录等。</w:t>
            </w:r>
          </w:p>
          <w:p>
            <w:pPr>
              <w:contextualSpacing/>
              <w:rPr>
                <w:rFonts w:asciiTheme="minorEastAsia" w:hAnsiTheme="minorEastAsia" w:cstheme="minorEastAsia"/>
                <w:szCs w:val="21"/>
              </w:rPr>
            </w:pPr>
            <w:r>
              <w:rPr>
                <w:rFonts w:hint="eastAsia" w:asciiTheme="minorEastAsia" w:hAnsiTheme="minorEastAsia" w:cstheme="minorEastAsia"/>
                <w:szCs w:val="21"/>
                <w:lang w:val="zh-TW"/>
              </w:rPr>
              <w:t>对上述全部内容进行阐述，详细、全面、切实可行，有针对性、可操作性强、无漏项或瑕疵，得</w:t>
            </w:r>
            <w:r>
              <w:rPr>
                <w:rFonts w:hint="eastAsia" w:asciiTheme="minorEastAsia" w:hAnsiTheme="minorEastAsia" w:cstheme="minorEastAsia"/>
                <w:szCs w:val="21"/>
              </w:rPr>
              <w:t>10</w:t>
            </w:r>
            <w:r>
              <w:rPr>
                <w:rFonts w:hint="eastAsia" w:asciiTheme="minorEastAsia" w:hAnsiTheme="minorEastAsia" w:cstheme="minorEastAsia"/>
                <w:szCs w:val="21"/>
                <w:lang w:val="zh-TW"/>
              </w:rPr>
              <w:t>分。每有</w:t>
            </w:r>
            <w:r>
              <w:rPr>
                <w:rFonts w:hint="eastAsia" w:asciiTheme="minorEastAsia" w:hAnsiTheme="minorEastAsia" w:cstheme="minorEastAsia"/>
                <w:szCs w:val="21"/>
              </w:rPr>
              <w:t>1</w:t>
            </w:r>
            <w:r>
              <w:rPr>
                <w:rFonts w:hint="eastAsia" w:asciiTheme="minorEastAsia" w:hAnsiTheme="minorEastAsia" w:cstheme="minorEastAsia"/>
                <w:szCs w:val="21"/>
                <w:lang w:val="zh-TW"/>
              </w:rPr>
              <w:t>个漏项或存在</w:t>
            </w:r>
            <w:r>
              <w:rPr>
                <w:rFonts w:hint="eastAsia" w:asciiTheme="minorEastAsia" w:hAnsiTheme="minorEastAsia" w:cstheme="minorEastAsia"/>
                <w:szCs w:val="21"/>
              </w:rPr>
              <w:t>1</w:t>
            </w:r>
            <w:r>
              <w:rPr>
                <w:rFonts w:hint="eastAsia" w:asciiTheme="minorEastAsia" w:hAnsiTheme="minorEastAsia" w:cstheme="minorEastAsia"/>
                <w:szCs w:val="21"/>
                <w:lang w:val="zh-TW"/>
              </w:rPr>
              <w:t>处瑕疵，减</w:t>
            </w:r>
            <w:r>
              <w:rPr>
                <w:rFonts w:hint="eastAsia" w:asciiTheme="minorEastAsia" w:hAnsiTheme="minorEastAsia" w:cstheme="minorEastAsia"/>
                <w:szCs w:val="21"/>
              </w:rPr>
              <w:t>2</w:t>
            </w:r>
            <w:r>
              <w:rPr>
                <w:rFonts w:hint="eastAsia" w:asciiTheme="minorEastAsia" w:hAnsiTheme="minorEastAsia" w:cstheme="minorEastAsia"/>
                <w:szCs w:val="21"/>
                <w:lang w:val="zh-TW"/>
              </w:rPr>
              <w:t>分，最低得</w:t>
            </w:r>
            <w:r>
              <w:rPr>
                <w:rFonts w:hint="eastAsia" w:asciiTheme="minorEastAsia" w:hAnsiTheme="minorEastAsia" w:cstheme="minorEastAsia"/>
                <w:szCs w:val="21"/>
              </w:rPr>
              <w:t>0</w:t>
            </w:r>
            <w:r>
              <w:rPr>
                <w:rFonts w:hint="eastAsia" w:asciiTheme="minorEastAsia" w:hAnsiTheme="minorEastAsia" w:cstheme="minorEastAsia"/>
                <w:szCs w:val="21"/>
                <w:lang w:val="zh-TW"/>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1353" w:type="dxa"/>
            <w:vAlign w:val="center"/>
          </w:tcPr>
          <w:p>
            <w:pPr>
              <w:rPr>
                <w:rFonts w:asciiTheme="minorEastAsia" w:hAnsiTheme="minorEastAsia" w:cstheme="minorEastAsia"/>
                <w:szCs w:val="21"/>
              </w:rPr>
            </w:pPr>
            <w:r>
              <w:rPr>
                <w:rFonts w:hint="eastAsia" w:asciiTheme="minorEastAsia" w:hAnsiTheme="minorEastAsia" w:cstheme="minorEastAsia"/>
                <w:szCs w:val="21"/>
              </w:rPr>
              <w:t>综合服务能力</w:t>
            </w:r>
          </w:p>
        </w:tc>
        <w:tc>
          <w:tcPr>
            <w:tcW w:w="813" w:type="dxa"/>
            <w:vAlign w:val="center"/>
          </w:tcPr>
          <w:p>
            <w:pPr>
              <w:pStyle w:val="37"/>
              <w:jc w:val="center"/>
              <w:rPr>
                <w:rFonts w:hint="default" w:asciiTheme="minorEastAsia" w:hAnsiTheme="minorEastAsia" w:cstheme="minorEastAsia"/>
                <w:kern w:val="2"/>
                <w:sz w:val="21"/>
                <w:szCs w:val="21"/>
                <w:lang w:eastAsia="zh-CN"/>
              </w:rPr>
            </w:pPr>
            <w:r>
              <w:rPr>
                <w:rFonts w:asciiTheme="minorEastAsia" w:hAnsiTheme="minorEastAsia" w:cstheme="minorEastAsia"/>
                <w:kern w:val="2"/>
                <w:sz w:val="21"/>
                <w:szCs w:val="21"/>
                <w:lang w:eastAsia="zh-CN"/>
              </w:rPr>
              <w:t>10.00</w:t>
            </w:r>
          </w:p>
        </w:tc>
        <w:tc>
          <w:tcPr>
            <w:tcW w:w="6140" w:type="dxa"/>
            <w:vAlign w:val="center"/>
          </w:tcPr>
          <w:p>
            <w:pPr>
              <w:contextualSpacing/>
              <w:rPr>
                <w:rFonts w:asciiTheme="minorEastAsia" w:hAnsiTheme="minorEastAsia" w:cstheme="minorEastAsia"/>
                <w:szCs w:val="21"/>
              </w:rPr>
            </w:pPr>
            <w:r>
              <w:rPr>
                <w:rFonts w:hint="eastAsia" w:asciiTheme="minorEastAsia" w:hAnsiTheme="minorEastAsia" w:cstheme="minorEastAsia"/>
                <w:szCs w:val="21"/>
              </w:rPr>
              <w:t>供应商具备本地化综合服务能力，包括服务体系（售后及运维）、应急响应时效、响应措施及预案、备品备件、信息安全及保密等。</w:t>
            </w:r>
          </w:p>
          <w:p>
            <w:pPr>
              <w:contextualSpacing/>
              <w:rPr>
                <w:rFonts w:asciiTheme="minorEastAsia" w:hAnsiTheme="minorEastAsia" w:cstheme="minorEastAsia"/>
                <w:szCs w:val="21"/>
              </w:rPr>
            </w:pPr>
            <w:r>
              <w:rPr>
                <w:rFonts w:hint="eastAsia" w:asciiTheme="minorEastAsia" w:hAnsiTheme="minorEastAsia" w:cstheme="minorEastAsia"/>
                <w:szCs w:val="21"/>
                <w:lang w:val="zh-TW"/>
              </w:rPr>
              <w:t>对上述全部内容进行阐述，详细、全面、切实可行、</w:t>
            </w:r>
            <w:r>
              <w:rPr>
                <w:rFonts w:hint="eastAsia" w:asciiTheme="minorEastAsia" w:hAnsiTheme="minorEastAsia" w:cstheme="minorEastAsia"/>
                <w:szCs w:val="21"/>
              </w:rPr>
              <w:t>措施可靠</w:t>
            </w:r>
            <w:r>
              <w:rPr>
                <w:rFonts w:hint="eastAsia" w:asciiTheme="minorEastAsia" w:hAnsiTheme="minorEastAsia" w:cstheme="minorEastAsia"/>
                <w:szCs w:val="21"/>
                <w:lang w:val="zh-TW"/>
              </w:rPr>
              <w:t>，有针对性、可操作性强、无漏项或瑕疵，得</w:t>
            </w:r>
            <w:r>
              <w:rPr>
                <w:rFonts w:hint="eastAsia" w:asciiTheme="minorEastAsia" w:hAnsiTheme="minorEastAsia" w:cstheme="minorEastAsia"/>
                <w:szCs w:val="21"/>
              </w:rPr>
              <w:t>10</w:t>
            </w:r>
            <w:r>
              <w:rPr>
                <w:rFonts w:hint="eastAsia" w:asciiTheme="minorEastAsia" w:hAnsiTheme="minorEastAsia" w:cstheme="minorEastAsia"/>
                <w:szCs w:val="21"/>
                <w:lang w:val="zh-TW"/>
              </w:rPr>
              <w:t>分。每有</w:t>
            </w:r>
            <w:r>
              <w:rPr>
                <w:rFonts w:hint="eastAsia" w:asciiTheme="minorEastAsia" w:hAnsiTheme="minorEastAsia" w:cstheme="minorEastAsia"/>
                <w:szCs w:val="21"/>
              </w:rPr>
              <w:t>1</w:t>
            </w:r>
            <w:r>
              <w:rPr>
                <w:rFonts w:hint="eastAsia" w:asciiTheme="minorEastAsia" w:hAnsiTheme="minorEastAsia" w:cstheme="minorEastAsia"/>
                <w:szCs w:val="21"/>
                <w:lang w:val="zh-TW"/>
              </w:rPr>
              <w:t>个漏项或存在</w:t>
            </w:r>
            <w:r>
              <w:rPr>
                <w:rFonts w:hint="eastAsia" w:asciiTheme="minorEastAsia" w:hAnsiTheme="minorEastAsia" w:cstheme="minorEastAsia"/>
                <w:szCs w:val="21"/>
              </w:rPr>
              <w:t>1</w:t>
            </w:r>
            <w:r>
              <w:rPr>
                <w:rFonts w:hint="eastAsia" w:asciiTheme="minorEastAsia" w:hAnsiTheme="minorEastAsia" w:cstheme="minorEastAsia"/>
                <w:szCs w:val="21"/>
                <w:lang w:val="zh-TW"/>
              </w:rPr>
              <w:t>处瑕疵，减</w:t>
            </w:r>
            <w:r>
              <w:rPr>
                <w:rFonts w:hint="eastAsia" w:asciiTheme="minorEastAsia" w:hAnsiTheme="minorEastAsia" w:cstheme="minorEastAsia"/>
                <w:szCs w:val="21"/>
              </w:rPr>
              <w:t>2</w:t>
            </w:r>
            <w:r>
              <w:rPr>
                <w:rFonts w:hint="eastAsia" w:asciiTheme="minorEastAsia" w:hAnsiTheme="minorEastAsia" w:cstheme="minorEastAsia"/>
                <w:szCs w:val="21"/>
                <w:lang w:val="zh-TW"/>
              </w:rPr>
              <w:t>分，最低得</w:t>
            </w:r>
            <w:r>
              <w:rPr>
                <w:rFonts w:hint="eastAsia" w:asciiTheme="minorEastAsia" w:hAnsiTheme="minorEastAsia" w:cstheme="minorEastAsia"/>
                <w:szCs w:val="21"/>
              </w:rPr>
              <w:t>0</w:t>
            </w:r>
            <w:r>
              <w:rPr>
                <w:rFonts w:hint="eastAsia" w:asciiTheme="minorEastAsia" w:hAnsiTheme="minorEastAsia" w:cstheme="minorEastAsia"/>
                <w:szCs w:val="21"/>
                <w:lang w:val="zh-TW"/>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1353" w:type="dxa"/>
            <w:vAlign w:val="center"/>
          </w:tcPr>
          <w:p>
            <w:pPr>
              <w:rPr>
                <w:rFonts w:asciiTheme="minorEastAsia" w:hAnsiTheme="minorEastAsia" w:cstheme="minorEastAsia"/>
                <w:szCs w:val="21"/>
              </w:rPr>
            </w:pPr>
            <w:r>
              <w:rPr>
                <w:rFonts w:hint="eastAsia" w:asciiTheme="minorEastAsia" w:hAnsiTheme="minorEastAsia" w:cstheme="minorEastAsia"/>
                <w:szCs w:val="21"/>
              </w:rPr>
              <w:t>网络运维人员的指标考核方案</w:t>
            </w:r>
          </w:p>
        </w:tc>
        <w:tc>
          <w:tcPr>
            <w:tcW w:w="813" w:type="dxa"/>
            <w:vAlign w:val="center"/>
          </w:tcPr>
          <w:p>
            <w:pPr>
              <w:pStyle w:val="37"/>
              <w:jc w:val="center"/>
              <w:rPr>
                <w:rFonts w:hint="default" w:asciiTheme="minorEastAsia" w:hAnsiTheme="minorEastAsia" w:cstheme="minorEastAsia"/>
                <w:kern w:val="2"/>
                <w:sz w:val="21"/>
                <w:szCs w:val="21"/>
                <w:lang w:eastAsia="zh-CN"/>
              </w:rPr>
            </w:pPr>
            <w:r>
              <w:rPr>
                <w:rFonts w:asciiTheme="minorEastAsia" w:hAnsiTheme="minorEastAsia" w:cstheme="minorEastAsia"/>
                <w:kern w:val="2"/>
                <w:sz w:val="21"/>
                <w:szCs w:val="21"/>
                <w:lang w:eastAsia="zh-CN"/>
              </w:rPr>
              <w:t>10.00</w:t>
            </w:r>
          </w:p>
        </w:tc>
        <w:tc>
          <w:tcPr>
            <w:tcW w:w="6140" w:type="dxa"/>
            <w:vAlign w:val="center"/>
          </w:tcPr>
          <w:p>
            <w:pPr>
              <w:contextualSpacing/>
              <w:rPr>
                <w:rFonts w:asciiTheme="minorEastAsia" w:hAnsiTheme="minorEastAsia" w:cstheme="minorEastAsia"/>
                <w:szCs w:val="21"/>
              </w:rPr>
            </w:pPr>
            <w:r>
              <w:rPr>
                <w:rFonts w:hint="eastAsia" w:asciiTheme="minorEastAsia" w:hAnsiTheme="minorEastAsia" w:cstheme="minorEastAsia"/>
                <w:szCs w:val="21"/>
              </w:rPr>
              <w:t>针对网络运维人员的考核及服务质量监督管理制度方案。</w:t>
            </w:r>
          </w:p>
          <w:p>
            <w:pPr>
              <w:contextualSpacing/>
              <w:rPr>
                <w:rFonts w:asciiTheme="minorEastAsia" w:hAnsiTheme="minorEastAsia" w:cstheme="minorEastAsia"/>
                <w:szCs w:val="21"/>
              </w:rPr>
            </w:pPr>
            <w:r>
              <w:rPr>
                <w:rFonts w:hint="eastAsia" w:asciiTheme="minorEastAsia" w:hAnsiTheme="minorEastAsia" w:cstheme="minorEastAsia"/>
                <w:szCs w:val="21"/>
                <w:lang w:val="zh-TW"/>
              </w:rPr>
              <w:t>对上述全部内容进行阐述，</w:t>
            </w:r>
            <w:r>
              <w:rPr>
                <w:rFonts w:hint="eastAsia" w:asciiTheme="minorEastAsia" w:hAnsiTheme="minorEastAsia" w:cstheme="minorEastAsia"/>
                <w:szCs w:val="21"/>
              </w:rPr>
              <w:t>有全面详细、切实可行、合理有效的考核方案和指标，具备有针对性、实用性及可操作性强的服务质量监督管理制度，</w:t>
            </w:r>
            <w:r>
              <w:rPr>
                <w:rFonts w:hint="eastAsia" w:asciiTheme="minorEastAsia" w:hAnsiTheme="minorEastAsia" w:cstheme="minorEastAsia"/>
                <w:szCs w:val="21"/>
                <w:lang w:val="zh-TW"/>
              </w:rPr>
              <w:t>无漏项或瑕疵，得</w:t>
            </w:r>
            <w:r>
              <w:rPr>
                <w:rFonts w:hint="eastAsia" w:asciiTheme="minorEastAsia" w:hAnsiTheme="minorEastAsia" w:cstheme="minorEastAsia"/>
                <w:szCs w:val="21"/>
              </w:rPr>
              <w:t>10</w:t>
            </w:r>
            <w:r>
              <w:rPr>
                <w:rFonts w:hint="eastAsia" w:asciiTheme="minorEastAsia" w:hAnsiTheme="minorEastAsia" w:cstheme="minorEastAsia"/>
                <w:szCs w:val="21"/>
                <w:lang w:val="zh-TW"/>
              </w:rPr>
              <w:t>分</w:t>
            </w:r>
            <w:r>
              <w:rPr>
                <w:rFonts w:hint="eastAsia" w:asciiTheme="minorEastAsia" w:hAnsiTheme="minorEastAsia" w:cstheme="minorEastAsia"/>
                <w:szCs w:val="21"/>
              </w:rPr>
              <w:t>。</w:t>
            </w:r>
            <w:r>
              <w:rPr>
                <w:rFonts w:hint="eastAsia" w:asciiTheme="minorEastAsia" w:hAnsiTheme="minorEastAsia" w:cstheme="minorEastAsia"/>
                <w:szCs w:val="21"/>
                <w:lang w:val="zh-TW"/>
              </w:rPr>
              <w:t>每有</w:t>
            </w:r>
            <w:r>
              <w:rPr>
                <w:rFonts w:hint="eastAsia" w:asciiTheme="minorEastAsia" w:hAnsiTheme="minorEastAsia" w:cstheme="minorEastAsia"/>
                <w:szCs w:val="21"/>
              </w:rPr>
              <w:t>1</w:t>
            </w:r>
            <w:r>
              <w:rPr>
                <w:rFonts w:hint="eastAsia" w:asciiTheme="minorEastAsia" w:hAnsiTheme="minorEastAsia" w:cstheme="minorEastAsia"/>
                <w:szCs w:val="21"/>
                <w:lang w:val="zh-TW"/>
              </w:rPr>
              <w:t>个漏项或存在</w:t>
            </w:r>
            <w:r>
              <w:rPr>
                <w:rFonts w:hint="eastAsia" w:asciiTheme="minorEastAsia" w:hAnsiTheme="minorEastAsia" w:cstheme="minorEastAsia"/>
                <w:szCs w:val="21"/>
              </w:rPr>
              <w:t>1</w:t>
            </w:r>
            <w:r>
              <w:rPr>
                <w:rFonts w:hint="eastAsia" w:asciiTheme="minorEastAsia" w:hAnsiTheme="minorEastAsia" w:cstheme="minorEastAsia"/>
                <w:szCs w:val="21"/>
                <w:lang w:val="zh-TW"/>
              </w:rPr>
              <w:t>处瑕疵，减</w:t>
            </w:r>
            <w:r>
              <w:rPr>
                <w:rFonts w:hint="eastAsia" w:asciiTheme="minorEastAsia" w:hAnsiTheme="minorEastAsia" w:cstheme="minorEastAsia"/>
                <w:szCs w:val="21"/>
              </w:rPr>
              <w:t>2</w:t>
            </w:r>
            <w:r>
              <w:rPr>
                <w:rFonts w:hint="eastAsia" w:asciiTheme="minorEastAsia" w:hAnsiTheme="minorEastAsia" w:cstheme="minorEastAsia"/>
                <w:szCs w:val="21"/>
                <w:lang w:val="zh-TW"/>
              </w:rPr>
              <w:t>分，最低得</w:t>
            </w:r>
            <w:r>
              <w:rPr>
                <w:rFonts w:hint="eastAsia" w:asciiTheme="minorEastAsia" w:hAnsiTheme="minorEastAsia" w:cstheme="minorEastAsia"/>
                <w:szCs w:val="21"/>
              </w:rPr>
              <w:t>0</w:t>
            </w:r>
            <w:r>
              <w:rPr>
                <w:rFonts w:hint="eastAsia" w:asciiTheme="minorEastAsia" w:hAnsiTheme="minorEastAsia" w:cstheme="minorEastAsia"/>
                <w:szCs w:val="21"/>
                <w:lang w:val="zh-TW"/>
              </w:rPr>
              <w:t>分。</w:t>
            </w:r>
          </w:p>
        </w:tc>
      </w:tr>
    </w:tbl>
    <w:p>
      <w:pPr>
        <w:pStyle w:val="12"/>
        <w:widowControl/>
        <w:adjustRightInd w:val="0"/>
        <w:spacing w:beforeAutospacing="0" w:after="150" w:afterAutospacing="0" w:line="420" w:lineRule="atLeast"/>
        <w:ind w:firstLine="482"/>
        <w:rPr>
          <w:rStyle w:val="17"/>
          <w:rFonts w:asciiTheme="minorEastAsia" w:hAnsiTheme="minorEastAsia" w:cstheme="minorEastAsia"/>
          <w:shd w:val="clear" w:color="auto" w:fill="FFFFFF"/>
        </w:rPr>
      </w:pPr>
      <w:r>
        <w:rPr>
          <w:rFonts w:hint="eastAsia" w:asciiTheme="minorEastAsia" w:hAnsiTheme="minorEastAsia" w:cstheme="minorEastAsia"/>
          <w:b/>
          <w:bCs/>
          <w:color w:val="000000" w:themeColor="text1"/>
          <w14:textFill>
            <w14:solidFill>
              <w14:schemeClr w14:val="tx1"/>
            </w14:solidFill>
          </w14:textFill>
        </w:rPr>
        <w:t>2.</w:t>
      </w:r>
      <w:r>
        <w:rPr>
          <w:rStyle w:val="17"/>
          <w:rFonts w:hint="eastAsia" w:asciiTheme="minorEastAsia" w:hAnsiTheme="minorEastAsia" w:cstheme="minorEastAsia"/>
          <w:bCs/>
          <w:color w:val="000000" w:themeColor="text1"/>
          <w14:textFill>
            <w14:solidFill>
              <w14:schemeClr w14:val="tx1"/>
            </w14:solidFill>
          </w14:textFill>
        </w:rPr>
        <w:t>商务部分评分</w:t>
      </w:r>
      <w:r>
        <w:rPr>
          <w:rStyle w:val="17"/>
          <w:rFonts w:hint="eastAsia" w:asciiTheme="minorEastAsia" w:hAnsiTheme="minorEastAsia" w:cstheme="minorEastAsia"/>
          <w:shd w:val="clear" w:color="auto" w:fill="FFFFFF"/>
        </w:rPr>
        <w:t>PB</w:t>
      </w:r>
      <w:r>
        <w:rPr>
          <w:rStyle w:val="17"/>
          <w:rFonts w:hint="eastAsia" w:asciiTheme="minorEastAsia" w:hAnsiTheme="minorEastAsia" w:cstheme="minorEastAsia"/>
          <w:bCs/>
          <w:color w:val="000000" w:themeColor="text1"/>
          <w14:textFill>
            <w14:solidFill>
              <w14:schemeClr w14:val="tx1"/>
            </w14:solidFill>
          </w14:textFill>
        </w:rPr>
        <w:t xml:space="preserve">     </w:t>
      </w:r>
      <w:r>
        <w:rPr>
          <w:rStyle w:val="17"/>
          <w:rFonts w:hint="eastAsia" w:asciiTheme="minorEastAsia" w:hAnsiTheme="minorEastAsia" w:cstheme="minorEastAsia"/>
          <w:shd w:val="clear" w:color="auto" w:fill="FFFFFF"/>
        </w:rPr>
        <w:t>满分18分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66"/>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tblHeader/>
        </w:trPr>
        <w:tc>
          <w:tcPr>
            <w:tcW w:w="1214" w:type="dxa"/>
            <w:vAlign w:val="center"/>
          </w:tcPr>
          <w:p>
            <w:pPr>
              <w:pStyle w:val="37"/>
              <w:contextualSpacing/>
              <w:jc w:val="center"/>
              <w:rPr>
                <w:rFonts w:hint="default" w:asciiTheme="minorEastAsia" w:hAnsiTheme="minorEastAsia" w:cstheme="minorEastAsia"/>
                <w:b/>
                <w:bCs/>
                <w:sz w:val="21"/>
                <w:szCs w:val="21"/>
              </w:rPr>
            </w:pPr>
            <w:r>
              <w:rPr>
                <w:rFonts w:asciiTheme="minorEastAsia" w:hAnsiTheme="minorEastAsia" w:cstheme="minorEastAsia"/>
                <w:b/>
                <w:bCs/>
                <w:sz w:val="21"/>
                <w:szCs w:val="21"/>
              </w:rPr>
              <w:t>项目</w:t>
            </w:r>
          </w:p>
        </w:tc>
        <w:tc>
          <w:tcPr>
            <w:tcW w:w="766" w:type="dxa"/>
            <w:vAlign w:val="center"/>
          </w:tcPr>
          <w:p>
            <w:pPr>
              <w:pStyle w:val="37"/>
              <w:contextualSpacing/>
              <w:jc w:val="center"/>
              <w:rPr>
                <w:rFonts w:hint="default" w:asciiTheme="minorEastAsia" w:hAnsiTheme="minorEastAsia" w:cstheme="minorEastAsia"/>
                <w:b/>
                <w:bCs/>
                <w:sz w:val="21"/>
                <w:szCs w:val="21"/>
              </w:rPr>
            </w:pPr>
            <w:r>
              <w:rPr>
                <w:rFonts w:asciiTheme="minorEastAsia" w:hAnsiTheme="minorEastAsia" w:cstheme="minorEastAsia"/>
                <w:b/>
                <w:bCs/>
                <w:sz w:val="21"/>
                <w:szCs w:val="21"/>
              </w:rPr>
              <w:t>分值</w:t>
            </w:r>
          </w:p>
        </w:tc>
        <w:tc>
          <w:tcPr>
            <w:tcW w:w="6316" w:type="dxa"/>
            <w:vAlign w:val="center"/>
          </w:tcPr>
          <w:p>
            <w:pPr>
              <w:pStyle w:val="37"/>
              <w:contextualSpacing/>
              <w:jc w:val="center"/>
              <w:rPr>
                <w:rFonts w:hint="default" w:asciiTheme="minorEastAsia" w:hAnsiTheme="minorEastAsia" w:cstheme="minorEastAsia"/>
                <w:b/>
                <w:bCs/>
                <w:sz w:val="21"/>
                <w:szCs w:val="21"/>
              </w:rPr>
            </w:pPr>
            <w:r>
              <w:rPr>
                <w:rFonts w:asciiTheme="minorEastAsia" w:hAnsiTheme="minorEastAsia" w:cstheme="minorEastAsia"/>
                <w:b/>
                <w:bCs/>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214" w:type="dxa"/>
            <w:vAlign w:val="center"/>
          </w:tcPr>
          <w:p>
            <w:pPr>
              <w:rPr>
                <w:rFonts w:asciiTheme="minorEastAsia" w:hAnsiTheme="minorEastAsia" w:cstheme="minorEastAsia"/>
                <w:szCs w:val="21"/>
              </w:rPr>
            </w:pPr>
            <w:r>
              <w:rPr>
                <w:rFonts w:hint="eastAsia" w:asciiTheme="minorEastAsia" w:hAnsiTheme="minorEastAsia" w:cstheme="minorEastAsia"/>
                <w:szCs w:val="21"/>
              </w:rPr>
              <w:t>运维服务案例</w:t>
            </w:r>
          </w:p>
        </w:tc>
        <w:tc>
          <w:tcPr>
            <w:tcW w:w="76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8.00</w:t>
            </w:r>
          </w:p>
        </w:tc>
        <w:tc>
          <w:tcPr>
            <w:tcW w:w="6316" w:type="dxa"/>
            <w:vAlign w:val="center"/>
          </w:tcPr>
          <w:p>
            <w:pPr>
              <w:rPr>
                <w:rFonts w:asciiTheme="minorEastAsia" w:hAnsiTheme="minorEastAsia" w:cstheme="minorEastAsia"/>
                <w:szCs w:val="21"/>
              </w:rPr>
            </w:pPr>
            <w:r>
              <w:rPr>
                <w:rFonts w:hint="eastAsia" w:asciiTheme="minorEastAsia" w:hAnsiTheme="minorEastAsia" w:cstheme="minorEastAsia"/>
                <w:szCs w:val="21"/>
              </w:rPr>
              <w:t>根据供应商提交的有效案例情况，进行评审。</w:t>
            </w:r>
          </w:p>
          <w:p>
            <w:pPr>
              <w:rPr>
                <w:rFonts w:asciiTheme="minorEastAsia" w:hAnsiTheme="minorEastAsia" w:cstheme="minorEastAsia"/>
                <w:szCs w:val="21"/>
              </w:rPr>
            </w:pPr>
            <w:r>
              <w:rPr>
                <w:rFonts w:hint="eastAsia" w:asciiTheme="minorEastAsia" w:hAnsiTheme="minorEastAsia" w:cstheme="minorEastAsia"/>
                <w:szCs w:val="21"/>
              </w:rPr>
              <w:t>合同签订时间为2019年1月1日至评审当日，由供应商在国内所完成的运维服务业绩情况进行打分，每个有效实施案例计2分，本项最高计8分。</w:t>
            </w:r>
          </w:p>
          <w:p>
            <w:pPr>
              <w:rPr>
                <w:rFonts w:asciiTheme="minorEastAsia" w:hAnsiTheme="minorEastAsia" w:cstheme="minorEastAsia"/>
                <w:szCs w:val="21"/>
              </w:rPr>
            </w:pPr>
            <w:r>
              <w:rPr>
                <w:rFonts w:hint="eastAsia" w:asciiTheme="minorEastAsia" w:hAnsiTheme="minorEastAsia" w:cstheme="minorEastAsia"/>
                <w:szCs w:val="21"/>
              </w:rPr>
              <w:t>注：以上有效案例需提供合同复印件作为有效证明材料，包括但不限于显示上述内容的相关页或关键页、签字盖章页。所提供证明材料不得涂改遮挡，否则不予认定。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214" w:type="dxa"/>
            <w:vMerge w:val="restart"/>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公司资质</w:t>
            </w:r>
          </w:p>
        </w:tc>
        <w:tc>
          <w:tcPr>
            <w:tcW w:w="76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w:t>
            </w:r>
          </w:p>
        </w:tc>
        <w:tc>
          <w:tcPr>
            <w:tcW w:w="6316" w:type="dxa"/>
            <w:vAlign w:val="center"/>
          </w:tcPr>
          <w:p>
            <w:pPr>
              <w:rPr>
                <w:rFonts w:asciiTheme="minorEastAsia" w:hAnsiTheme="minorEastAsia" w:cstheme="minorEastAsia"/>
                <w:szCs w:val="21"/>
              </w:rPr>
            </w:pPr>
            <w:r>
              <w:rPr>
                <w:rFonts w:hint="eastAsia" w:asciiTheme="minorEastAsia" w:hAnsiTheme="minorEastAsia" w:cstheme="minorEastAsia"/>
                <w:szCs w:val="21"/>
              </w:rPr>
              <w:t>供应商具备有效的信息安全管理体系认证（ISO27001)证书得2分。须提供证书复印件并加盖公章。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214" w:type="dxa"/>
            <w:vMerge w:val="continue"/>
            <w:vAlign w:val="center"/>
          </w:tcPr>
          <w:p>
            <w:pPr>
              <w:rPr>
                <w:rFonts w:asciiTheme="minorEastAsia" w:hAnsiTheme="minorEastAsia" w:cstheme="minorEastAsia"/>
                <w:szCs w:val="21"/>
              </w:rPr>
            </w:pPr>
          </w:p>
        </w:tc>
        <w:tc>
          <w:tcPr>
            <w:tcW w:w="76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w:t>
            </w:r>
          </w:p>
        </w:tc>
        <w:tc>
          <w:tcPr>
            <w:tcW w:w="6316" w:type="dxa"/>
            <w:vAlign w:val="center"/>
          </w:tcPr>
          <w:p>
            <w:pPr>
              <w:rPr>
                <w:rFonts w:asciiTheme="minorEastAsia" w:hAnsiTheme="minorEastAsia" w:cstheme="minorEastAsia"/>
                <w:szCs w:val="21"/>
              </w:rPr>
            </w:pPr>
            <w:r>
              <w:rPr>
                <w:rFonts w:hint="eastAsia" w:asciiTheme="minorEastAsia" w:hAnsiTheme="minorEastAsia" w:cstheme="minorEastAsia"/>
                <w:szCs w:val="21"/>
              </w:rPr>
              <w:t>供应商具备有效的信息技术服务管理体系认证(ISO20000)证书得2分。须提供证书复印件并加盖公章。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214" w:type="dxa"/>
            <w:vMerge w:val="continue"/>
            <w:vAlign w:val="center"/>
          </w:tcPr>
          <w:p>
            <w:pPr>
              <w:rPr>
                <w:rFonts w:asciiTheme="minorEastAsia" w:hAnsiTheme="minorEastAsia" w:cstheme="minorEastAsia"/>
                <w:szCs w:val="21"/>
              </w:rPr>
            </w:pPr>
          </w:p>
        </w:tc>
        <w:tc>
          <w:tcPr>
            <w:tcW w:w="76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w:t>
            </w:r>
          </w:p>
        </w:tc>
        <w:tc>
          <w:tcPr>
            <w:tcW w:w="6316" w:type="dxa"/>
            <w:vAlign w:val="center"/>
          </w:tcPr>
          <w:p>
            <w:pPr>
              <w:rPr>
                <w:rFonts w:asciiTheme="minorEastAsia" w:hAnsiTheme="minorEastAsia" w:cstheme="minorEastAsia"/>
                <w:szCs w:val="21"/>
              </w:rPr>
            </w:pPr>
            <w:r>
              <w:rPr>
                <w:rFonts w:hint="eastAsia" w:asciiTheme="minorEastAsia" w:hAnsiTheme="minorEastAsia" w:cstheme="minorEastAsia"/>
              </w:rPr>
              <w:t>供应商具备有效的信息系统建设和服务能力等级证书，良好级（CS3）证书得1分，优秀级（CS4）及以上证书得2分。须提供证书复印件并加盖公章。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214" w:type="dxa"/>
            <w:vMerge w:val="continue"/>
            <w:vAlign w:val="center"/>
          </w:tcPr>
          <w:p>
            <w:pPr>
              <w:rPr>
                <w:rFonts w:asciiTheme="minorEastAsia" w:hAnsiTheme="minorEastAsia" w:cstheme="minorEastAsia"/>
                <w:szCs w:val="21"/>
              </w:rPr>
            </w:pPr>
          </w:p>
        </w:tc>
        <w:tc>
          <w:tcPr>
            <w:tcW w:w="76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w:t>
            </w:r>
          </w:p>
        </w:tc>
        <w:tc>
          <w:tcPr>
            <w:tcW w:w="6316" w:type="dxa"/>
            <w:vAlign w:val="center"/>
          </w:tcPr>
          <w:p>
            <w:pPr>
              <w:rPr>
                <w:rFonts w:asciiTheme="minorEastAsia" w:hAnsiTheme="minorEastAsia" w:cstheme="minorEastAsia"/>
                <w:szCs w:val="21"/>
              </w:rPr>
            </w:pPr>
            <w:r>
              <w:rPr>
                <w:rFonts w:hint="eastAsia" w:asciiTheme="minorEastAsia" w:hAnsiTheme="minorEastAsia" w:cstheme="minorEastAsia"/>
              </w:rPr>
              <w:t>供应商具备有效ITSS信息技术服务-运行维护业务领域标准证书，三级及以上证书得2分。须提供证书复印件并加盖公章。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214" w:type="dxa"/>
            <w:vMerge w:val="continue"/>
            <w:vAlign w:val="center"/>
          </w:tcPr>
          <w:p>
            <w:pPr>
              <w:rPr>
                <w:rFonts w:asciiTheme="minorEastAsia" w:hAnsiTheme="minorEastAsia" w:cstheme="minorEastAsia"/>
                <w:szCs w:val="21"/>
              </w:rPr>
            </w:pPr>
          </w:p>
        </w:tc>
        <w:tc>
          <w:tcPr>
            <w:tcW w:w="766"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2.00</w:t>
            </w:r>
          </w:p>
        </w:tc>
        <w:tc>
          <w:tcPr>
            <w:tcW w:w="6316" w:type="dxa"/>
            <w:vAlign w:val="center"/>
          </w:tcPr>
          <w:p>
            <w:pPr>
              <w:rPr>
                <w:rFonts w:asciiTheme="minorEastAsia" w:hAnsiTheme="minorEastAsia" w:cstheme="minorEastAsia"/>
                <w:szCs w:val="21"/>
              </w:rPr>
            </w:pPr>
            <w:r>
              <w:rPr>
                <w:rFonts w:hint="eastAsia" w:asciiTheme="minorEastAsia" w:hAnsiTheme="minorEastAsia" w:cstheme="minorEastAsia"/>
              </w:rPr>
              <w:t>供应商具备有效中国网络安全审查技术与认证中心（CCRC）颁发有效的信息安全服务资质证书【类别为：信息系统安全集成】三级及以上证书得2分。须提供证书复印件并加盖公章。</w:t>
            </w:r>
          </w:p>
        </w:tc>
      </w:tr>
    </w:tbl>
    <w:p>
      <w:pPr>
        <w:pStyle w:val="12"/>
        <w:widowControl/>
        <w:adjustRightInd w:val="0"/>
        <w:spacing w:beforeAutospacing="0" w:afterAutospacing="0"/>
        <w:ind w:firstLine="482" w:firstLineChars="200"/>
        <w:rPr>
          <w:rFonts w:asciiTheme="minorEastAsia" w:hAnsiTheme="minorEastAsia" w:cstheme="minorEastAsia"/>
          <w:color w:val="000000" w:themeColor="text1"/>
          <w14:textFill>
            <w14:solidFill>
              <w14:schemeClr w14:val="tx1"/>
            </w14:solidFill>
          </w14:textFill>
        </w:rPr>
      </w:pPr>
      <w:r>
        <w:rPr>
          <w:rStyle w:val="17"/>
          <w:rFonts w:hint="eastAsia" w:asciiTheme="minorEastAsia" w:hAnsiTheme="minorEastAsia" w:cstheme="minorEastAsia"/>
          <w:bCs/>
          <w:color w:val="000000" w:themeColor="text1"/>
          <w14:textFill>
            <w14:solidFill>
              <w14:schemeClr w14:val="tx1"/>
            </w14:solidFill>
          </w14:textFill>
        </w:rPr>
        <w:t>3.报价部分评分</w:t>
      </w:r>
      <w:r>
        <w:rPr>
          <w:rStyle w:val="17"/>
          <w:rFonts w:hint="eastAsia" w:asciiTheme="minorEastAsia" w:hAnsiTheme="minorEastAsia" w:cstheme="minorEastAsia"/>
          <w:shd w:val="clear" w:color="auto" w:fill="FFFFFF"/>
        </w:rPr>
        <w:t>PF</w:t>
      </w:r>
      <w:r>
        <w:rPr>
          <w:rStyle w:val="17"/>
          <w:rFonts w:hint="eastAsia" w:asciiTheme="minorEastAsia" w:hAnsiTheme="minorEastAsia" w:cstheme="minorEastAsia"/>
          <w:bCs/>
          <w:color w:val="000000" w:themeColor="text1"/>
          <w14:textFill>
            <w14:solidFill>
              <w14:schemeClr w14:val="tx1"/>
            </w14:solidFill>
          </w14:textFill>
        </w:rPr>
        <w:t xml:space="preserve">     满分</w:t>
      </w:r>
      <w:r>
        <w:rPr>
          <w:rStyle w:val="17"/>
          <w:rFonts w:hint="eastAsia" w:asciiTheme="minorEastAsia" w:hAnsiTheme="minorEastAsia" w:cstheme="minorEastAsia"/>
          <w:bCs/>
          <w:color w:val="000000" w:themeColor="text1"/>
          <w:u w:val="single"/>
          <w14:textFill>
            <w14:solidFill>
              <w14:schemeClr w14:val="tx1"/>
            </w14:solidFill>
          </w14:textFill>
        </w:rPr>
        <w:t>30</w:t>
      </w:r>
      <w:r>
        <w:rPr>
          <w:rStyle w:val="17"/>
          <w:rFonts w:hint="eastAsia" w:asciiTheme="minorEastAsia" w:hAnsiTheme="minorEastAsia" w:cstheme="minorEastAsia"/>
          <w:bCs/>
          <w:color w:val="000000" w:themeColor="text1"/>
          <w14:textFill>
            <w14:solidFill>
              <w14:schemeClr w14:val="tx1"/>
            </w14:solidFill>
          </w14:textFill>
        </w:rPr>
        <w:t>分</w:t>
      </w:r>
    </w:p>
    <w:p>
      <w:pPr>
        <w:pStyle w:val="12"/>
        <w:widowControl/>
        <w:adjustRightInd w:val="0"/>
        <w:snapToGrid w:val="0"/>
        <w:spacing w:beforeAutospacing="0" w:afterAutospacing="0"/>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（1）价格分采用低价优先法计算，即满足采购文件要求且最后报价最低的供应商的价格为基准价，其价格分为满分。其他供应商的价格分统一按照下列公式计算：报价得分=（基准价／最后报价）×30。</w:t>
      </w:r>
    </w:p>
    <w:p>
      <w:pPr>
        <w:pStyle w:val="12"/>
        <w:widowControl/>
        <w:adjustRightInd w:val="0"/>
        <w:snapToGrid w:val="0"/>
        <w:spacing w:beforeAutospacing="0" w:afterAutospacing="0"/>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（2）成交候选人排列规则顺序和并列相同时的处理约定如下：</w:t>
      </w:r>
    </w:p>
    <w:p>
      <w:pPr>
        <w:pStyle w:val="12"/>
        <w:widowControl/>
        <w:adjustRightInd w:val="0"/>
        <w:snapToGrid w:val="0"/>
        <w:spacing w:beforeAutospacing="0" w:afterAutospacing="0"/>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a.成交候选人按照综合评审总得分(P)由高到低顺序排列推荐。</w:t>
      </w:r>
    </w:p>
    <w:p>
      <w:pPr>
        <w:pStyle w:val="12"/>
        <w:widowControl/>
        <w:adjustRightInd w:val="0"/>
        <w:snapToGrid w:val="0"/>
        <w:spacing w:beforeAutospacing="0" w:afterAutospacing="0"/>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b.综合评审总得分(P)相同的，按照经评审最后报价由低到高顺序推荐。</w:t>
      </w:r>
    </w:p>
    <w:p>
      <w:pPr>
        <w:pStyle w:val="12"/>
        <w:widowControl/>
        <w:adjustRightInd w:val="0"/>
        <w:snapToGrid w:val="0"/>
        <w:spacing w:beforeAutospacing="0" w:afterAutospacing="0"/>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c.综合评审总得分(P)且经评审最后报价仍然相同的，按照技术部分得分由高到低的顺序推荐。</w:t>
      </w:r>
    </w:p>
    <w:p>
      <w:pPr>
        <w:pStyle w:val="12"/>
        <w:widowControl/>
        <w:adjustRightInd w:val="0"/>
        <w:snapToGrid w:val="0"/>
        <w:spacing w:beforeAutospacing="0" w:afterAutospacing="0"/>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d.经前述顺序处理仍然并列相同的，则由评审小组通过随机抽取方式确定优先顺序推荐。</w:t>
      </w:r>
    </w:p>
    <w:p>
      <w:pPr>
        <w:pStyle w:val="12"/>
        <w:widowControl/>
        <w:spacing w:beforeAutospacing="0" w:afterAutospacing="0"/>
        <w:ind w:firstLine="482" w:firstLineChars="200"/>
        <w:rPr>
          <w:rStyle w:val="17"/>
          <w:rFonts w:asciiTheme="minorEastAsia" w:hAnsiTheme="minorEastAsia" w:cstheme="minorEastAsia"/>
          <w:bCs/>
        </w:rPr>
      </w:pPr>
      <w:r>
        <w:rPr>
          <w:rStyle w:val="17"/>
          <w:rFonts w:hint="eastAsia" w:asciiTheme="minorEastAsia" w:hAnsiTheme="minorEastAsia" w:cstheme="minorEastAsia"/>
          <w:bCs/>
        </w:rPr>
        <w:t>七、评审报告</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（一）评审小组完成评审后，应当编写评审报告并提交给采购人。</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（二）评审报告应当包括以下主要内容：</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1.邀请供应商参加采购活动的具体方式和相关情况；</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2.响应文件开启日期和地点；</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3.获取采购文件的供应商名单和评审小组成员名单；</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4.评审情况记录和说明，包括对供应商的资格审查情况、供应商响应文件评审情况、报价情况等；</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5.提出的成交候选人的排序名单及理由。</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三）评审报告应当由评审小组全体人员签字认可。评审小组成员对评审报告有异议的，评审小组按照少数服从多数的原则推荐成交候选人，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pStyle w:val="12"/>
        <w:widowControl/>
        <w:spacing w:beforeAutospacing="0" w:afterAutospacing="0"/>
        <w:ind w:firstLine="482" w:firstLineChars="200"/>
        <w:rPr>
          <w:rStyle w:val="17"/>
          <w:rFonts w:asciiTheme="minorEastAsia" w:hAnsiTheme="minorEastAsia" w:cstheme="minorEastAsia"/>
          <w:bCs/>
        </w:rPr>
      </w:pPr>
      <w:r>
        <w:rPr>
          <w:rStyle w:val="17"/>
          <w:rFonts w:hint="eastAsia" w:asciiTheme="minorEastAsia" w:hAnsiTheme="minorEastAsia" w:cstheme="minorEastAsia"/>
          <w:bCs/>
        </w:rPr>
        <w:t>八、其他规定</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（一）其他规定</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1.评审应全程保密且不得透露给任一供应商或与评审工作无关的人员。</w:t>
      </w:r>
    </w:p>
    <w:p>
      <w:pPr>
        <w:pStyle w:val="12"/>
        <w:widowControl/>
        <w:spacing w:beforeAutospacing="0" w:afterAutospacing="0"/>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2.评审将进行全程实时录音录像，录音录像资料随采购文件一并存档。</w:t>
      </w:r>
    </w:p>
    <w:p>
      <w:pPr>
        <w:pStyle w:val="12"/>
        <w:widowControl/>
        <w:ind w:firstLine="480" w:firstLineChars="200"/>
        <w:rPr>
          <w:rStyle w:val="17"/>
          <w:rFonts w:asciiTheme="minorEastAsia" w:hAnsiTheme="minorEastAsia" w:cstheme="minorEastAsia"/>
          <w:b w:val="0"/>
        </w:rPr>
      </w:pPr>
      <w:r>
        <w:rPr>
          <w:rStyle w:val="17"/>
          <w:rFonts w:hint="eastAsia" w:asciiTheme="minorEastAsia" w:hAnsiTheme="minorEastAsia" w:cstheme="minorEastAsia"/>
          <w:b w:val="0"/>
        </w:rPr>
        <w:t>3.根据采购项目的特点和需要，需要加以详细说明的其他采购程序规定、要求等内容：</w:t>
      </w:r>
      <w:r>
        <w:rPr>
          <w:rStyle w:val="17"/>
          <w:rFonts w:hint="eastAsia" w:asciiTheme="minorEastAsia" w:hAnsiTheme="minorEastAsia" w:cstheme="minorEastAsia"/>
          <w:b w:val="0"/>
          <w:bCs/>
          <w:highlight w:val="yellow"/>
        </w:rPr>
        <w:t>本项目属于新一轮采购，采购过程中提交响应文件或者经评审实质性响应采购文件要求的供应商只有两家时，可以直接组织与该两家供应商进行采购活动。若提交响应文件或者经评审实质性响应采购文件要求的供应商不足两家的，本次采购活动终止，将重新组织采购或者采取其他方式采购。</w:t>
      </w:r>
      <w:r>
        <w:rPr>
          <w:rStyle w:val="17"/>
          <w:rFonts w:hint="eastAsia" w:asciiTheme="minorEastAsia" w:hAnsiTheme="minorEastAsia" w:cstheme="minorEastAsia"/>
          <w:b w:val="0"/>
        </w:rPr>
        <w:br w:type="page"/>
      </w:r>
    </w:p>
    <w:p>
      <w:pPr>
        <w:pStyle w:val="4"/>
        <w:keepNext w:val="0"/>
        <w:keepLines w:val="0"/>
        <w:widowControl/>
        <w:numPr>
          <w:ilvl w:val="1"/>
          <w:numId w:val="0"/>
        </w:numPr>
        <w:shd w:val="clear" w:color="auto" w:fill="FFFFFF"/>
        <w:spacing w:before="0" w:after="0" w:line="480" w:lineRule="atLeast"/>
        <w:ind w:hanging="567"/>
        <w:rPr>
          <w:rFonts w:eastAsia="宋体" w:cs="宋体"/>
          <w:bCs/>
          <w:sz w:val="39"/>
          <w:szCs w:val="39"/>
        </w:rPr>
      </w:pPr>
      <w:r>
        <w:rPr>
          <w:rFonts w:hint="eastAsia" w:eastAsia="宋体" w:cs="宋体"/>
          <w:bCs/>
          <w:sz w:val="39"/>
          <w:szCs w:val="39"/>
          <w:shd w:val="clear" w:color="auto" w:fill="FFFFFF"/>
        </w:rPr>
        <w:t>首次响应文件格式（后附）</w:t>
      </w:r>
    </w:p>
    <w:p>
      <w:pPr>
        <w:pStyle w:val="12"/>
        <w:widowControl/>
        <w:shd w:val="clear" w:color="auto" w:fill="FFFFFF"/>
        <w:spacing w:beforeAutospacing="0" w:afterAutospacing="0" w:line="480" w:lineRule="atLeast"/>
        <w:ind w:firstLine="480"/>
        <w:rPr>
          <w:rFonts w:ascii="宋体" w:hAnsi="宋体" w:eastAsia="宋体" w:cs="宋体"/>
        </w:rPr>
      </w:pPr>
      <w:r>
        <w:rPr>
          <w:rFonts w:hint="eastAsia" w:ascii="宋体" w:hAnsi="宋体" w:eastAsia="宋体" w:cs="宋体"/>
          <w:shd w:val="clear" w:color="auto" w:fill="FFFFFF"/>
        </w:rPr>
        <w:t>1、本附件所有格式为响应文件的组成部分。</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shd w:val="clear" w:color="auto" w:fill="FFFFFF"/>
        </w:rPr>
        <w:t> </w:t>
      </w:r>
    </w:p>
    <w:p>
      <w:pPr>
        <w:rPr>
          <w:rFonts w:ascii="宋体" w:hAnsi="宋体" w:eastAsia="宋体" w:cs="宋体"/>
          <w:b/>
          <w:bCs/>
          <w:sz w:val="78"/>
          <w:szCs w:val="78"/>
        </w:rPr>
      </w:pPr>
      <w:r>
        <w:rPr>
          <w:rFonts w:hint="eastAsia" w:ascii="宋体" w:hAnsi="宋体" w:eastAsia="宋体" w:cs="宋体"/>
          <w:b/>
          <w:bCs/>
          <w:sz w:val="78"/>
          <w:szCs w:val="78"/>
        </w:rPr>
        <w:br w:type="page"/>
      </w:r>
    </w:p>
    <w:p>
      <w:pPr>
        <w:pStyle w:val="4"/>
        <w:keepNext w:val="0"/>
        <w:keepLines w:val="0"/>
        <w:widowControl/>
        <w:numPr>
          <w:ilvl w:val="1"/>
          <w:numId w:val="0"/>
        </w:numPr>
        <w:spacing w:before="0" w:after="0" w:line="480" w:lineRule="atLeast"/>
        <w:ind w:hanging="567"/>
        <w:rPr>
          <w:rFonts w:eastAsia="宋体" w:cs="宋体"/>
          <w:bCs/>
          <w:sz w:val="72"/>
          <w:szCs w:val="72"/>
        </w:rPr>
      </w:pPr>
    </w:p>
    <w:p>
      <w:pPr>
        <w:pStyle w:val="4"/>
        <w:keepNext w:val="0"/>
        <w:keepLines w:val="0"/>
        <w:widowControl/>
        <w:numPr>
          <w:ilvl w:val="1"/>
          <w:numId w:val="0"/>
        </w:numPr>
        <w:spacing w:before="0" w:after="0" w:line="480" w:lineRule="atLeast"/>
        <w:ind w:hanging="567"/>
        <w:rPr>
          <w:rFonts w:eastAsia="宋体" w:cs="宋体"/>
          <w:bCs/>
          <w:sz w:val="72"/>
          <w:szCs w:val="72"/>
        </w:rPr>
      </w:pPr>
    </w:p>
    <w:p>
      <w:pPr>
        <w:pStyle w:val="4"/>
        <w:keepNext w:val="0"/>
        <w:keepLines w:val="0"/>
        <w:widowControl/>
        <w:numPr>
          <w:ilvl w:val="1"/>
          <w:numId w:val="0"/>
        </w:numPr>
        <w:spacing w:before="0" w:after="0" w:line="480" w:lineRule="atLeast"/>
        <w:ind w:hanging="567"/>
        <w:rPr>
          <w:rFonts w:eastAsia="宋体" w:cs="宋体"/>
          <w:bCs/>
          <w:sz w:val="72"/>
          <w:szCs w:val="72"/>
        </w:rPr>
      </w:pPr>
      <w:r>
        <w:rPr>
          <w:rFonts w:hint="eastAsia" w:eastAsia="宋体" w:cs="宋体"/>
          <w:bCs/>
          <w:sz w:val="72"/>
          <w:szCs w:val="72"/>
        </w:rPr>
        <w:t>响应文件</w:t>
      </w:r>
    </w:p>
    <w:p>
      <w:pPr>
        <w:widowControl/>
        <w:spacing w:after="240"/>
        <w:jc w:val="center"/>
        <w:rPr>
          <w:rFonts w:ascii="宋体" w:hAnsi="宋体" w:eastAsia="宋体" w:cs="宋体"/>
          <w:kern w:val="0"/>
          <w:sz w:val="24"/>
          <w:lang w:bidi="ar"/>
        </w:rPr>
      </w:pPr>
    </w:p>
    <w:p>
      <w:pPr>
        <w:widowControl/>
        <w:spacing w:after="240"/>
        <w:jc w:val="center"/>
      </w:pPr>
      <w:r>
        <w:rPr>
          <w:rFonts w:hint="eastAsia" w:ascii="宋体" w:hAnsi="宋体" w:eastAsia="宋体" w:cs="宋体"/>
          <w:kern w:val="0"/>
          <w:sz w:val="36"/>
          <w:szCs w:val="36"/>
          <w:lang w:bidi="ar"/>
        </w:rPr>
        <w:t>（正本/副本）</w:t>
      </w:r>
      <w:r>
        <w:rPr>
          <w:rFonts w:ascii="宋体" w:hAnsi="宋体" w:eastAsia="宋体" w:cs="宋体"/>
          <w:kern w:val="0"/>
          <w:sz w:val="36"/>
          <w:szCs w:val="36"/>
          <w:lang w:bidi="ar"/>
        </w:rPr>
        <w:br w:type="textWrapping"/>
      </w:r>
      <w:r>
        <w:rPr>
          <w:rFonts w:ascii="宋体" w:hAnsi="宋体" w:eastAsia="宋体" w:cs="宋体"/>
          <w:kern w:val="0"/>
          <w:sz w:val="24"/>
          <w:lang w:bidi="ar"/>
        </w:rPr>
        <w:br w:type="textWrapping"/>
      </w:r>
    </w:p>
    <w:p>
      <w:pPr>
        <w:pStyle w:val="5"/>
        <w:widowControl/>
        <w:spacing w:beforeAutospacing="0" w:afterAutospacing="0" w:line="480" w:lineRule="atLeast"/>
        <w:jc w:val="center"/>
        <w:rPr>
          <w:rFonts w:hint="default" w:cs="宋体"/>
        </w:rPr>
      </w:pPr>
      <w:r>
        <w:rPr>
          <w:rFonts w:cs="宋体"/>
        </w:rPr>
        <w:t xml:space="preserve">   项目名称：</w:t>
      </w:r>
      <w:r>
        <w:rPr>
          <w:rFonts w:cs="宋体"/>
          <w:u w:val="single"/>
        </w:rPr>
        <w:t xml:space="preserve">                              </w:t>
      </w:r>
    </w:p>
    <w:p>
      <w:pPr>
        <w:pStyle w:val="5"/>
        <w:widowControl/>
        <w:spacing w:beforeAutospacing="0" w:afterAutospacing="0" w:line="480" w:lineRule="atLeast"/>
        <w:jc w:val="center"/>
        <w:rPr>
          <w:rFonts w:hint="default" w:cs="宋体"/>
        </w:rPr>
      </w:pPr>
      <w:r>
        <w:rPr>
          <w:rFonts w:cs="宋体"/>
        </w:rPr>
        <w:t>项目编号：</w:t>
      </w:r>
      <w:r>
        <w:rPr>
          <w:rFonts w:cs="宋体"/>
          <w:u w:val="single"/>
        </w:rPr>
        <w:t>                          </w:t>
      </w:r>
    </w:p>
    <w:p>
      <w:pPr>
        <w:widowControl/>
        <w:spacing w:after="240"/>
        <w:jc w:val="left"/>
      </w:pPr>
    </w:p>
    <w:p>
      <w:pPr>
        <w:pStyle w:val="5"/>
        <w:widowControl/>
        <w:spacing w:beforeAutospacing="0" w:afterAutospacing="0" w:line="480" w:lineRule="atLeast"/>
        <w:jc w:val="center"/>
        <w:rPr>
          <w:rFonts w:hint="default" w:cs="宋体"/>
          <w:u w:val="single"/>
        </w:rPr>
      </w:pPr>
      <w:r>
        <w:rPr>
          <w:rFonts w:cs="宋体"/>
        </w:rPr>
        <w:t xml:space="preserve"> 供应商名称：</w:t>
      </w:r>
      <w:r>
        <w:rPr>
          <w:rFonts w:cs="宋体"/>
          <w:u w:val="single"/>
        </w:rPr>
        <w:t>                          </w:t>
      </w:r>
    </w:p>
    <w:p>
      <w:pPr>
        <w:pStyle w:val="5"/>
        <w:widowControl/>
        <w:spacing w:beforeAutospacing="0" w:afterAutospacing="0" w:line="480" w:lineRule="atLeast"/>
        <w:jc w:val="center"/>
        <w:rPr>
          <w:rFonts w:hint="default" w:cs="宋体"/>
        </w:rPr>
      </w:pPr>
      <w:r>
        <w:rPr>
          <w:rFonts w:cs="宋体"/>
        </w:rPr>
        <w:t>日  期：</w:t>
      </w:r>
      <w:r>
        <w:rPr>
          <w:rFonts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shd w:val="clear" w:color="auto" w:fill="FFFFFF"/>
        </w:rPr>
        <w:t> </w:t>
      </w:r>
    </w:p>
    <w:p>
      <w:pPr>
        <w:rPr>
          <w:rFonts w:ascii="宋体" w:hAnsi="宋体" w:eastAsia="宋体" w:cs="宋体"/>
          <w:b/>
          <w:bCs/>
          <w:sz w:val="27"/>
          <w:szCs w:val="27"/>
          <w:shd w:val="clear" w:color="auto" w:fill="FFFFFF"/>
        </w:rPr>
      </w:pPr>
      <w:r>
        <w:rPr>
          <w:rFonts w:hint="eastAsia" w:ascii="宋体" w:hAnsi="宋体" w:eastAsia="宋体" w:cs="宋体"/>
          <w:b/>
          <w:bCs/>
          <w:sz w:val="27"/>
          <w:szCs w:val="27"/>
          <w:shd w:val="clear" w:color="auto" w:fill="FFFFFF"/>
        </w:rPr>
        <w:br w:type="page"/>
      </w:r>
    </w:p>
    <w:p>
      <w:pPr>
        <w:pStyle w:val="5"/>
        <w:widowControl/>
        <w:shd w:val="clear" w:color="auto" w:fill="FFFFFF"/>
        <w:spacing w:beforeAutospacing="0" w:afterAutospacing="0" w:line="480" w:lineRule="atLeast"/>
        <w:jc w:val="center"/>
        <w:rPr>
          <w:rFonts w:hint="default" w:cs="宋体"/>
        </w:rPr>
      </w:pPr>
      <w:r>
        <w:rPr>
          <w:rFonts w:cs="宋体"/>
          <w:shd w:val="clear" w:color="auto" w:fill="FFFFFF"/>
        </w:rPr>
        <w:t>目 录</w:t>
      </w:r>
    </w:p>
    <w:p>
      <w:pPr>
        <w:pStyle w:val="12"/>
        <w:widowControl/>
        <w:spacing w:beforeAutospacing="0" w:afterAutospacing="0" w:line="480" w:lineRule="atLeast"/>
        <w:ind w:firstLine="482"/>
        <w:rPr>
          <w:rFonts w:ascii="宋体" w:hAnsi="宋体" w:eastAsia="宋体" w:cs="宋体"/>
          <w:b/>
          <w:bCs/>
        </w:rPr>
      </w:pPr>
      <w:r>
        <w:rPr>
          <w:rFonts w:hint="eastAsia" w:ascii="宋体" w:hAnsi="宋体" w:eastAsia="宋体" w:cs="宋体"/>
          <w:b/>
          <w:bCs/>
        </w:rPr>
        <w:t>一、资格部分</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附件1：响应声明</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附件2：</w:t>
      </w:r>
      <w:r>
        <w:rPr>
          <w:rFonts w:hint="eastAsia" w:asciiTheme="minorEastAsia" w:hAnsiTheme="minorEastAsia" w:cstheme="minorEastAsia"/>
          <w:color w:val="000000" w:themeColor="text1"/>
          <w:szCs w:val="21"/>
          <w14:textFill>
            <w14:solidFill>
              <w14:schemeClr w14:val="tx1"/>
            </w14:solidFill>
          </w14:textFill>
        </w:rPr>
        <w:t>投标函</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附件3：单位负责人授权书</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附件4：营业执照</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附件5：</w:t>
      </w:r>
      <w:r>
        <w:rPr>
          <w:rFonts w:hint="eastAsia" w:asciiTheme="minorEastAsia" w:hAnsiTheme="minorEastAsia" w:cstheme="minorEastAsia"/>
          <w:color w:val="000000" w:themeColor="text1"/>
          <w:szCs w:val="21"/>
          <w14:textFill>
            <w14:solidFill>
              <w14:schemeClr w14:val="tx1"/>
            </w14:solidFill>
          </w14:textFill>
        </w:rPr>
        <w:t>财务状况报告</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附件6：</w:t>
      </w:r>
      <w:r>
        <w:rPr>
          <w:rFonts w:hint="eastAsia" w:asciiTheme="minorEastAsia" w:hAnsiTheme="minorEastAsia" w:cstheme="minorEastAsia"/>
          <w:color w:val="000000" w:themeColor="text1"/>
          <w:szCs w:val="21"/>
          <w14:textFill>
            <w14:solidFill>
              <w14:schemeClr w14:val="tx1"/>
            </w14:solidFill>
          </w14:textFill>
        </w:rPr>
        <w:t>依法缴纳税收的相关材料</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附件7：依法缴纳社会保障资金的相关材料</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附件8：参加采购活动前3年内在经营活动中没有重大违法记录的书面声明</w:t>
      </w:r>
    </w:p>
    <w:p>
      <w:pPr>
        <w:pStyle w:val="12"/>
        <w:widowControl/>
        <w:spacing w:beforeAutospacing="0" w:afterAutospacing="0" w:line="480" w:lineRule="atLeast"/>
        <w:ind w:firstLine="480"/>
        <w:rPr>
          <w:rFonts w:ascii="宋体" w:hAnsi="宋体" w:eastAsia="宋体" w:cs="宋体"/>
          <w:b/>
          <w:bCs/>
        </w:rPr>
      </w:pPr>
      <w:r>
        <w:rPr>
          <w:rFonts w:hint="eastAsia" w:ascii="宋体" w:hAnsi="宋体" w:eastAsia="宋体" w:cs="宋体"/>
        </w:rPr>
        <w:t>附件9：</w:t>
      </w:r>
      <w:r>
        <w:rPr>
          <w:rFonts w:hint="eastAsia" w:asciiTheme="minorEastAsia" w:hAnsiTheme="minorEastAsia" w:cstheme="minorEastAsia"/>
          <w:szCs w:val="21"/>
        </w:rPr>
        <w:t>信用记录查询结果</w:t>
      </w:r>
    </w:p>
    <w:p>
      <w:pPr>
        <w:pStyle w:val="12"/>
        <w:widowControl/>
        <w:spacing w:beforeAutospacing="0" w:afterAutospacing="0" w:line="480" w:lineRule="atLeast"/>
        <w:ind w:firstLine="482"/>
        <w:rPr>
          <w:rFonts w:ascii="宋体" w:hAnsi="宋体" w:eastAsia="宋体" w:cs="宋体"/>
          <w:b/>
          <w:bCs/>
        </w:rPr>
      </w:pPr>
      <w:r>
        <w:rPr>
          <w:rFonts w:hint="eastAsia" w:ascii="宋体" w:hAnsi="宋体" w:eastAsia="宋体" w:cs="宋体"/>
          <w:b/>
          <w:bCs/>
        </w:rPr>
        <w:t>二、</w:t>
      </w:r>
      <w:r>
        <w:rPr>
          <w:rFonts w:hint="eastAsia" w:asciiTheme="minorEastAsia" w:hAnsiTheme="minorEastAsia" w:cstheme="minorEastAsia"/>
          <w:b/>
          <w:bCs/>
        </w:rPr>
        <w:t>技术商务</w:t>
      </w:r>
      <w:r>
        <w:rPr>
          <w:rFonts w:hint="eastAsia" w:ascii="宋体" w:hAnsi="宋体" w:eastAsia="宋体" w:cs="宋体"/>
          <w:b/>
          <w:bCs/>
        </w:rPr>
        <w:t>部分</w:t>
      </w:r>
    </w:p>
    <w:p>
      <w:pPr>
        <w:pStyle w:val="12"/>
        <w:widowControl/>
        <w:spacing w:beforeAutospacing="0" w:afterAutospacing="0" w:line="480" w:lineRule="atLeas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附件1：采购需求响应表</w:t>
      </w:r>
    </w:p>
    <w:p>
      <w:pPr>
        <w:pStyle w:val="12"/>
        <w:widowControl/>
        <w:spacing w:beforeAutospacing="0" w:afterAutospacing="0" w:line="480" w:lineRule="atLeas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附件2：报价表</w:t>
      </w:r>
    </w:p>
    <w:p>
      <w:pPr>
        <w:pStyle w:val="12"/>
        <w:widowControl/>
        <w:spacing w:beforeAutospacing="0" w:afterAutospacing="0" w:line="480" w:lineRule="atLeas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附件3：</w:t>
      </w:r>
      <w:r>
        <w:rPr>
          <w:rFonts w:hint="eastAsia" w:ascii="宋体" w:hAnsi="宋体" w:eastAsia="宋体" w:cs="宋体"/>
        </w:rPr>
        <w:t>要求作为响应文件组成部分的其他内容（若有）</w:t>
      </w:r>
      <w:r>
        <w:rPr>
          <w:rFonts w:hint="eastAsia" w:asciiTheme="minorEastAsia" w:hAnsiTheme="minorEastAsia" w:cstheme="minorEastAsia"/>
          <w:color w:val="000000" w:themeColor="text1"/>
          <w:szCs w:val="21"/>
          <w14:textFill>
            <w14:solidFill>
              <w14:schemeClr w14:val="tx1"/>
            </w14:solidFill>
          </w14:textFill>
        </w:rPr>
        <w:br w:type="page"/>
      </w:r>
    </w:p>
    <w:p>
      <w:pPr>
        <w:pStyle w:val="5"/>
        <w:widowControl/>
        <w:shd w:val="clear" w:color="auto" w:fill="FFFFFF"/>
        <w:spacing w:beforeAutospacing="0" w:afterAutospacing="0" w:line="480" w:lineRule="atLeast"/>
        <w:jc w:val="center"/>
        <w:rPr>
          <w:rFonts w:hint="default" w:cs="宋体"/>
          <w:shd w:val="clear" w:color="auto" w:fill="FFFFFF"/>
        </w:rPr>
      </w:pPr>
      <w:r>
        <w:rPr>
          <w:rFonts w:cs="宋体"/>
          <w:shd w:val="clear" w:color="auto" w:fill="FFFFFF"/>
        </w:rPr>
        <w:t>一、资格部分</w:t>
      </w:r>
    </w:p>
    <w:p>
      <w:pPr>
        <w:pStyle w:val="5"/>
        <w:widowControl/>
        <w:shd w:val="clear" w:color="auto" w:fill="FFFFFF"/>
        <w:spacing w:beforeAutospacing="0" w:afterAutospacing="0" w:line="480" w:lineRule="atLeast"/>
        <w:jc w:val="center"/>
        <w:rPr>
          <w:rFonts w:hint="default" w:cs="宋体"/>
        </w:rPr>
      </w:pPr>
      <w:r>
        <w:rPr>
          <w:rFonts w:cs="宋体"/>
          <w:shd w:val="clear" w:color="auto" w:fill="FFFFFF"/>
        </w:rPr>
        <w:t>附件1 响应声明</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1.根据贵方为</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的非标采购公告，我方签字代表</w:t>
      </w:r>
      <w:r>
        <w:rPr>
          <w:rFonts w:hint="eastAsia" w:ascii="宋体" w:hAnsi="宋体" w:eastAsia="宋体" w:cs="宋体"/>
          <w:u w:val="single"/>
        </w:rPr>
        <w:t> （全名、职务）</w:t>
      </w:r>
      <w:r>
        <w:rPr>
          <w:rFonts w:hint="eastAsia" w:ascii="宋体" w:hAnsi="宋体" w:eastAsia="宋体" w:cs="宋体"/>
        </w:rPr>
        <w:t>经正式授权并代表的供应商</w:t>
      </w:r>
      <w:r>
        <w:rPr>
          <w:rFonts w:hint="eastAsia" w:ascii="宋体" w:hAnsi="宋体" w:eastAsia="宋体" w:cs="宋体"/>
          <w:u w:val="single"/>
        </w:rPr>
        <w:t>（供应商名称、地址）</w:t>
      </w:r>
      <w:r>
        <w:rPr>
          <w:rFonts w:hint="eastAsia" w:ascii="宋体" w:hAnsi="宋体" w:eastAsia="宋体" w:cs="宋体"/>
        </w:rPr>
        <w:t>提交包含下述内容的响应文件正本</w:t>
      </w:r>
      <w:r>
        <w:rPr>
          <w:rFonts w:hint="eastAsia" w:ascii="宋体" w:hAnsi="宋体" w:eastAsia="宋体" w:cs="宋体"/>
          <w:u w:val="single"/>
        </w:rPr>
        <w:t>　　</w:t>
      </w:r>
      <w:r>
        <w:rPr>
          <w:rFonts w:hint="eastAsia" w:ascii="宋体" w:hAnsi="宋体" w:eastAsia="宋体" w:cs="宋体"/>
        </w:rPr>
        <w:t>套，副本</w:t>
      </w:r>
      <w:r>
        <w:rPr>
          <w:rFonts w:hint="eastAsia" w:ascii="宋体" w:hAnsi="宋体" w:eastAsia="宋体" w:cs="宋体"/>
          <w:u w:val="single"/>
        </w:rPr>
        <w:t>　　</w:t>
      </w:r>
      <w:r>
        <w:rPr>
          <w:rFonts w:hint="eastAsia" w:ascii="宋体" w:hAnsi="宋体" w:eastAsia="宋体" w:cs="宋体"/>
        </w:rPr>
        <w:t>套。</w:t>
      </w:r>
    </w:p>
    <w:p>
      <w:pPr>
        <w:pStyle w:val="12"/>
        <w:widowControl/>
        <w:spacing w:beforeAutospacing="0" w:afterAutospacing="0" w:line="480" w:lineRule="atLeast"/>
        <w:ind w:firstLine="482"/>
        <w:rPr>
          <w:rFonts w:ascii="宋体" w:hAnsi="宋体" w:eastAsia="宋体" w:cs="宋体"/>
          <w:b/>
          <w:bCs/>
        </w:rPr>
      </w:pPr>
      <w:r>
        <w:rPr>
          <w:rFonts w:hint="eastAsia" w:ascii="宋体" w:hAnsi="宋体" w:eastAsia="宋体" w:cs="宋体"/>
          <w:b/>
          <w:bCs/>
        </w:rPr>
        <w:t>一、资格部分</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（1）投标函</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（2）单位负责人授权书</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（3）营业执照</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（4）财务状况报告</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（5）依法缴纳税收的相关材料</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（6）依法缴纳社会保障资金的相关材料</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（7）参加采购活动前3年内在经营活动中没有重大违法记录的书面声明</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（8）</w:t>
      </w:r>
      <w:r>
        <w:rPr>
          <w:rFonts w:hint="eastAsia" w:asciiTheme="minorEastAsia" w:hAnsiTheme="minorEastAsia" w:cstheme="minorEastAsia"/>
          <w:szCs w:val="21"/>
        </w:rPr>
        <w:t>信用记录查询结果</w:t>
      </w:r>
    </w:p>
    <w:p>
      <w:pPr>
        <w:pStyle w:val="12"/>
        <w:widowControl/>
        <w:spacing w:beforeAutospacing="0" w:afterAutospacing="0" w:line="480" w:lineRule="atLeast"/>
        <w:ind w:firstLine="482"/>
        <w:rPr>
          <w:rFonts w:ascii="宋体" w:hAnsi="宋体" w:eastAsia="宋体" w:cs="宋体"/>
          <w:b/>
          <w:bCs/>
        </w:rPr>
      </w:pPr>
      <w:r>
        <w:rPr>
          <w:rFonts w:hint="eastAsia" w:ascii="宋体" w:hAnsi="宋体" w:eastAsia="宋体" w:cs="宋体"/>
          <w:b/>
          <w:bCs/>
        </w:rPr>
        <w:t>二、</w:t>
      </w:r>
      <w:r>
        <w:rPr>
          <w:rFonts w:hint="eastAsia" w:asciiTheme="minorEastAsia" w:hAnsiTheme="minorEastAsia" w:cstheme="minorEastAsia"/>
          <w:b/>
          <w:bCs/>
        </w:rPr>
        <w:t>技术商务</w:t>
      </w:r>
      <w:r>
        <w:rPr>
          <w:rFonts w:hint="eastAsia" w:ascii="宋体" w:hAnsi="宋体" w:eastAsia="宋体" w:cs="宋体"/>
          <w:b/>
          <w:bCs/>
        </w:rPr>
        <w:t>部分</w:t>
      </w:r>
    </w:p>
    <w:p>
      <w:pPr>
        <w:pStyle w:val="12"/>
        <w:widowControl/>
        <w:spacing w:beforeAutospacing="0" w:afterAutospacing="0" w:line="480" w:lineRule="atLeas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（1）采购需求响应表</w:t>
      </w:r>
    </w:p>
    <w:p>
      <w:pPr>
        <w:pStyle w:val="12"/>
        <w:widowControl/>
        <w:spacing w:beforeAutospacing="0" w:afterAutospacing="0" w:line="480" w:lineRule="atLeast"/>
        <w:ind w:firstLine="48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（2）报价表</w:t>
      </w:r>
    </w:p>
    <w:p>
      <w:pPr>
        <w:pStyle w:val="12"/>
        <w:widowControl/>
        <w:spacing w:beforeAutospacing="0" w:afterAutospacing="0" w:line="480" w:lineRule="atLeast"/>
        <w:ind w:firstLine="480" w:firstLineChars="200"/>
        <w:rPr>
          <w:rFonts w:ascii="宋体" w:hAnsi="宋体" w:eastAsia="宋体" w:cs="宋体"/>
        </w:rPr>
      </w:pPr>
      <w:r>
        <w:rPr>
          <w:rFonts w:hint="eastAsia" w:asciiTheme="minorEastAsia" w:hAnsiTheme="minorEastAsia" w:cstheme="minorEastAsia"/>
          <w:color w:val="000000" w:themeColor="text1"/>
          <w:szCs w:val="21"/>
          <w14:textFill>
            <w14:solidFill>
              <w14:schemeClr w14:val="tx1"/>
            </w14:solidFill>
          </w14:textFill>
        </w:rPr>
        <w:t>（3）</w:t>
      </w:r>
      <w:r>
        <w:rPr>
          <w:rFonts w:hint="eastAsia" w:ascii="宋体" w:hAnsi="宋体" w:eastAsia="宋体" w:cs="宋体"/>
        </w:rPr>
        <w:t>要求作为响应文件组成部分的其他内容（若有）</w:t>
      </w:r>
    </w:p>
    <w:p>
      <w:pPr>
        <w:pStyle w:val="12"/>
        <w:widowControl/>
        <w:spacing w:beforeAutospacing="0" w:afterAutospacing="0" w:line="480" w:lineRule="atLeast"/>
        <w:ind w:firstLine="480" w:firstLineChars="200"/>
        <w:rPr>
          <w:rFonts w:ascii="宋体" w:hAnsi="宋体" w:eastAsia="宋体" w:cs="宋体"/>
        </w:rPr>
      </w:pPr>
      <w:r>
        <w:rPr>
          <w:rFonts w:hint="eastAsia" w:ascii="宋体" w:hAnsi="宋体" w:eastAsia="宋体" w:cs="宋体"/>
        </w:rPr>
        <w:t>2.据此函，我方宣布响应承诺如下：</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2.1我方已详细审查全部采购文件，包括澄清、修改、补充或更正文件（如有的话）和有关附件，我方完全熟悉和理解其中的要求、条款和条件，且无任何异议。除了我方已在采购需求响应表中列出的负偏差和不响应外，我方承诺将按采购文件的各项规定履行合同责任和义务。采购文件及其附件资料如果有涉及应当保密的内容， 我方将严格遵守规定，不将应当保密的内容泄密给第三方或另作它用，如有违反，采购人可依法追究我方的法律责任。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2.2一旦我方获得成交，我方将按照采购文件的要求和我方提交的响应文件（包括首次响应文件、补充澄清、报价等响应文件）中的承诺，投入项目所需相关资源，并在合同约定的期限内组织有经验的人员做好项目的实施和服务工作。贵方向我方发出成交通知书后，我方承诺遵守国家相关法律和采购文件的要求， 并在规定的期限内与采购人签订合同。</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2.3我方承诺：我方对响应文件中的所有承诺、声明、数据和资料的真实性、准确性、合法性、有效性负责；我方响应文件中有关复印件或扫描件资料均与原件一致。 如有违反，我方将承担法律责任和后果。</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2.4我方愿意向贵方提供任何与本项目采购有关的数据或资料。若贵方需要，我方愿意提供我方作出的一切承诺的证明材料。</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2.5我方联系方式、电子信箱和通信地址等信息如下，用于接受贵方发出的与本次采购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2.7我方承诺响应文件所提供的全部资料真实可靠，并接受评审小组、采购人、代理机构、监管部门进一步审查其中任何资料真实性的要求</w:t>
      </w:r>
    </w:p>
    <w:p>
      <w:pPr>
        <w:widowControl/>
        <w:jc w:val="left"/>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通信地址:</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邮编：</w:t>
      </w:r>
      <w:r>
        <w:rPr>
          <w:rFonts w:hint="eastAsia" w:ascii="宋体" w:hAnsi="宋体" w:eastAsia="宋体" w:cs="宋体"/>
          <w:u w:val="single"/>
        </w:rPr>
        <w:t>　　　　　　</w:t>
      </w:r>
      <w:r>
        <w:rPr>
          <w:rFonts w:hint="eastAsia" w:ascii="宋体" w:hAnsi="宋体" w:eastAsia="宋体" w:cs="宋体"/>
        </w:rPr>
        <w:t> 传真号：</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联系电话（固定电话和移动电话）：</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供应商代表电子信箱：</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　　（全称并加盖公章）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w:t>
      </w:r>
    </w:p>
    <w:p>
      <w:pPr>
        <w:rPr>
          <w:rFonts w:ascii="宋体" w:hAnsi="宋体" w:eastAsia="宋体" w:cs="宋体"/>
          <w:b/>
          <w:bCs/>
          <w:sz w:val="27"/>
          <w:szCs w:val="27"/>
          <w:shd w:val="clear" w:color="auto" w:fill="FFFFFF"/>
        </w:rPr>
      </w:pPr>
      <w:r>
        <w:rPr>
          <w:rFonts w:hint="eastAsia" w:ascii="宋体" w:hAnsi="宋体" w:eastAsia="宋体" w:cs="宋体"/>
          <w:b/>
          <w:bCs/>
          <w:sz w:val="27"/>
          <w:szCs w:val="27"/>
          <w:shd w:val="clear" w:color="auto" w:fill="FFFFFF"/>
        </w:rPr>
        <w:br w:type="page"/>
      </w:r>
    </w:p>
    <w:p>
      <w:pPr>
        <w:pStyle w:val="6"/>
        <w:widowControl/>
        <w:spacing w:beforeAutospacing="0" w:afterAutospacing="0" w:line="480" w:lineRule="atLeast"/>
        <w:jc w:val="center"/>
        <w:rPr>
          <w:rFonts w:hint="default" w:cs="宋体"/>
        </w:rPr>
      </w:pPr>
      <w:r>
        <w:rPr>
          <w:rFonts w:cs="宋体"/>
        </w:rPr>
        <w:t>附件2  投标函</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1、关于贵方</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日项目（项目编号:</w:t>
      </w:r>
      <w:r>
        <w:rPr>
          <w:rFonts w:hint="eastAsia" w:ascii="宋体" w:hAnsi="宋体" w:eastAsia="宋体" w:cs="宋体"/>
          <w:u w:val="single"/>
        </w:rPr>
        <w:t>          </w:t>
      </w:r>
      <w:r>
        <w:rPr>
          <w:rFonts w:hint="eastAsia" w:ascii="宋体" w:hAnsi="宋体" w:eastAsia="宋体" w:cs="宋体"/>
        </w:rPr>
        <w:t>）的非标采购公告，本签字人代表供应商参加采购活动，我方提供采购文件中规定的相应资料和说明。本签字人确认响应文件中所有提交的文件、声明或资料（包括但不限于资格证明文件）是真实的、合法的、准确的、有效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2、供应商的基本概况：</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2.1供应商单位名称：</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2.2注册地址：</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2.3单位负责人姓名：</w:t>
      </w:r>
      <w:r>
        <w:rPr>
          <w:rFonts w:hint="eastAsia" w:ascii="宋体" w:hAnsi="宋体" w:eastAsia="宋体" w:cs="宋体"/>
          <w:u w:val="single"/>
        </w:rPr>
        <w:t>  　　 　　 </w:t>
      </w:r>
      <w:r>
        <w:rPr>
          <w:rFonts w:hint="eastAsia" w:ascii="宋体" w:hAnsi="宋体" w:eastAsia="宋体" w:cs="宋体"/>
        </w:rPr>
        <w:t>性别：</w:t>
      </w:r>
      <w:r>
        <w:rPr>
          <w:rFonts w:hint="eastAsia" w:ascii="宋体" w:hAnsi="宋体" w:eastAsia="宋体" w:cs="宋体"/>
          <w:u w:val="single"/>
        </w:rPr>
        <w:t>  　　 </w:t>
      </w:r>
      <w:r>
        <w:rPr>
          <w:rFonts w:hint="eastAsia" w:ascii="宋体" w:hAnsi="宋体" w:eastAsia="宋体" w:cs="宋体"/>
        </w:rPr>
        <w:t>年龄：</w:t>
      </w:r>
      <w:r>
        <w:rPr>
          <w:rFonts w:hint="eastAsia" w:ascii="宋体" w:hAnsi="宋体" w:eastAsia="宋体" w:cs="宋体"/>
          <w:u w:val="single"/>
        </w:rPr>
        <w:t>  　　 </w:t>
      </w:r>
      <w:r>
        <w:rPr>
          <w:rFonts w:hint="eastAsia" w:ascii="宋体" w:hAnsi="宋体" w:eastAsia="宋体" w:cs="宋体"/>
        </w:rPr>
        <w:t>职务：</w:t>
      </w:r>
      <w:r>
        <w:rPr>
          <w:rFonts w:hint="eastAsia" w:ascii="宋体" w:hAnsi="宋体" w:eastAsia="宋体" w:cs="宋体"/>
          <w:u w:val="single"/>
        </w:rPr>
        <w:t>  　　 　　 </w:t>
      </w:r>
      <w:r>
        <w:rPr>
          <w:rFonts w:hint="eastAsia" w:ascii="宋体" w:hAnsi="宋体" w:eastAsia="宋体" w:cs="宋体"/>
        </w:rPr>
        <w:t>。</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备注：“单位负责人”指单位法定代表人（供应商为法人的）或法律、法规规定代表单位行使职权的主要负责人（供应商为其他组织的）。</w:t>
      </w:r>
    </w:p>
    <w:p>
      <w:pPr>
        <w:widowControl/>
        <w:spacing w:after="240"/>
        <w:jc w:val="left"/>
      </w:pPr>
      <w:r>
        <w:rPr>
          <w:rFonts w:ascii="宋体" w:hAnsi="宋体" w:eastAsia="宋体" w:cs="宋体"/>
          <w:kern w:val="0"/>
          <w:sz w:val="24"/>
          <w:lang w:bidi="ar"/>
        </w:rPr>
        <w:br w:type="textWrapping"/>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w:t>
      </w:r>
    </w:p>
    <w:p>
      <w:pPr>
        <w:rPr>
          <w:rFonts w:ascii="宋体" w:hAnsi="宋体" w:eastAsia="宋体" w:cs="宋体"/>
          <w:b/>
          <w:bCs/>
          <w:sz w:val="24"/>
        </w:rPr>
      </w:pPr>
      <w:r>
        <w:rPr>
          <w:rFonts w:hint="eastAsia" w:ascii="宋体" w:hAnsi="宋体" w:eastAsia="宋体" w:cs="宋体"/>
          <w:b/>
          <w:bCs/>
          <w:sz w:val="24"/>
        </w:rPr>
        <w:br w:type="page"/>
      </w:r>
    </w:p>
    <w:p>
      <w:pPr>
        <w:pStyle w:val="6"/>
        <w:widowControl/>
        <w:spacing w:beforeAutospacing="0" w:afterAutospacing="0" w:line="480" w:lineRule="atLeast"/>
        <w:jc w:val="center"/>
        <w:rPr>
          <w:rFonts w:hint="default" w:cs="宋体"/>
        </w:rPr>
      </w:pPr>
      <w:r>
        <w:rPr>
          <w:rFonts w:cs="宋体"/>
        </w:rPr>
        <w:t>附件3  单位负责人授权书</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 </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响应活动，全权代表我方处理响应活动过程的一切事宜，包括但不限于：递交响应文件、参与投标、澄清、签约等工作。供应商代表在响应活动过程中所签署的一切文件和处理与之有关的一切事务，我方均予以认可并对此承担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供应商代表无转委权。特此授权。</w:t>
      </w:r>
    </w:p>
    <w:p>
      <w:pPr>
        <w:pStyle w:val="12"/>
        <w:widowControl/>
        <w:spacing w:beforeAutospacing="0" w:afterAutospacing="0" w:line="480" w:lineRule="atLeast"/>
        <w:ind w:firstLine="480"/>
        <w:jc w:val="center"/>
        <w:rPr>
          <w:rFonts w:ascii="宋体" w:hAnsi="宋体" w:eastAsia="宋体" w:cs="宋体"/>
        </w:rPr>
      </w:pPr>
      <w:r>
        <w:rPr>
          <w:rFonts w:hint="eastAsia" w:ascii="宋体" w:hAnsi="宋体" w:eastAsia="宋体" w:cs="宋体"/>
        </w:rPr>
        <w:t>（以下无正文）</w:t>
      </w:r>
    </w:p>
    <w:p>
      <w:pPr>
        <w:widowControl/>
        <w:spacing w:after="240"/>
        <w:jc w:val="left"/>
      </w:pPr>
      <w:r>
        <w:rPr>
          <w:rFonts w:ascii="宋体" w:hAnsi="宋体" w:eastAsia="宋体" w:cs="宋体"/>
          <w:kern w:val="0"/>
          <w:sz w:val="24"/>
          <w:lang w:bidi="ar"/>
        </w:rPr>
        <w:br w:type="textWrapping"/>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widowControl/>
        <w:jc w:val="left"/>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授权方</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widowControl/>
        <w:jc w:val="left"/>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接受授权方</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line="480" w:lineRule="atLeast"/>
        <w:ind w:firstLine="480"/>
        <w:jc w:val="right"/>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附：单位负责人、供应商代表的身份证正反面复印件</w:t>
      </w:r>
    </w:p>
    <w:p>
      <w:pPr>
        <w:pStyle w:val="12"/>
        <w:widowControl/>
        <w:spacing w:beforeAutospacing="0" w:afterAutospacing="0" w:line="480" w:lineRule="atLeast"/>
        <w:ind w:firstLine="480"/>
        <w:jc w:val="center"/>
        <w:rPr>
          <w:rFonts w:ascii="宋体" w:hAnsi="宋体" w:eastAsia="宋体" w:cs="宋体"/>
        </w:rPr>
      </w:pPr>
      <w:r>
        <w:rPr>
          <w:rFonts w:hint="eastAsia" w:ascii="宋体" w:hAnsi="宋体" w:eastAsia="宋体" w:cs="宋体"/>
        </w:rPr>
        <w:t>要求：真实、有效、清晰</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※注意：</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3、若供应商代表为单位负责人授权的委托代理人，应提供本授权书；若供应商代表为单位负责人，应在此项下提交其身份证正反面复印件，可不提供本授权书。</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4、</w:t>
      </w:r>
      <w:r>
        <w:rPr>
          <w:rFonts w:hint="eastAsia" w:asciiTheme="minorEastAsia" w:hAnsiTheme="minorEastAsia" w:cstheme="minorEastAsia"/>
          <w:color w:val="000000" w:themeColor="text1"/>
          <w:szCs w:val="21"/>
          <w14:textFill>
            <w14:solidFill>
              <w14:schemeClr w14:val="tx1"/>
            </w14:solidFill>
          </w14:textFill>
        </w:rPr>
        <w:t>纸质响应文件正本中的本授权书（若有）应为原件。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w:t>
      </w:r>
    </w:p>
    <w:p>
      <w:pPr>
        <w:rPr>
          <w:rFonts w:ascii="宋体" w:hAnsi="宋体" w:eastAsia="宋体" w:cs="宋体"/>
          <w:b/>
          <w:bCs/>
          <w:sz w:val="24"/>
        </w:rPr>
      </w:pPr>
      <w:r>
        <w:rPr>
          <w:rFonts w:hint="eastAsia" w:ascii="宋体" w:hAnsi="宋体" w:eastAsia="宋体" w:cs="宋体"/>
          <w:b/>
          <w:bCs/>
          <w:sz w:val="24"/>
        </w:rPr>
        <w:br w:type="page"/>
      </w:r>
    </w:p>
    <w:p>
      <w:pPr>
        <w:pStyle w:val="6"/>
        <w:widowControl/>
        <w:spacing w:beforeAutospacing="0" w:afterAutospacing="0" w:line="480" w:lineRule="atLeast"/>
        <w:jc w:val="center"/>
        <w:rPr>
          <w:rFonts w:hint="default" w:cs="宋体"/>
        </w:rPr>
      </w:pPr>
      <w:r>
        <w:rPr>
          <w:rFonts w:cs="宋体"/>
        </w:rPr>
        <w:t>附件4 营业执照</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）供应商为法人（包括企业、事业单位和社会团体）的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）供应商为非法人（包括其他组织、自然人）的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pPr>
        <w:widowControl/>
        <w:spacing w:after="240"/>
        <w:jc w:val="left"/>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※注意：</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1、请供应商根据实际情况填写，在相应的（）中打“√”并选择相应的“□”（若有）后，再按照本格式的要求提供相应证明材料的复印件。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3、供应商提供的相应证明材料复印件均应符合：内容完整、清晰、整洁，并由供应商加盖其单位公章。</w:t>
      </w:r>
    </w:p>
    <w:p>
      <w:pPr>
        <w:widowControl/>
        <w:spacing w:after="240"/>
        <w:jc w:val="left"/>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w:t>
      </w:r>
    </w:p>
    <w:p>
      <w:pPr>
        <w:pStyle w:val="6"/>
        <w:widowControl/>
        <w:spacing w:beforeAutospacing="0" w:afterAutospacing="0" w:line="480" w:lineRule="atLeast"/>
        <w:jc w:val="center"/>
        <w:rPr>
          <w:rFonts w:hint="default" w:cs="宋体"/>
        </w:rPr>
      </w:pPr>
      <w:r>
        <w:rPr>
          <w:rFonts w:cs="宋体"/>
        </w:rPr>
        <w:t>附件5 财务状况报告</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）供应商提供财务报告的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财务报告复印件，包括资产负债表、利润表、现金流量表、所有者权益变动表及其附注（若有）、会计师事务所营业执照和注册会计师资格证书，上述证明材料真实有效，否则我方负全部责任。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□社会团体、民办非企单位适用：现附上我方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）供应商提供资信证明的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□自然人适用（包括企业、事业单位、社会团体和其他组织）：现附上我方银行：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※注意事项：</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1、请供应商按照自身实际情况编制填写，在其中相应的（）中打“√”并选择相应的“□”（若有）后，再按照本格式的要求提供相应证明材料的复印件即可。</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2、供应商提供的财务报告复印件（成立年限按照首次响应文件递交截止时间推算）应符合下列规定：</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2.1成立年限满1年及以上的供应商，提供经审计的2022年度的年度财务报告。</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2.2成立年限满半年但不足1年的供应商，提供该半年度中任一季度的季度财务报告或该半年度的半年度财务报告。</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2.3无法按照第2.1、2.2条规定提供财务报告复印件的供应商（包括但不限于：成立年限满1年及以上的供应商、成立年限满半年但不足1年的供应商、成立年限不足半年的供应商），应选择提供资信证明。</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3、供应商提供的相应证明材料均应符合：内容完整、清晰、整洁，并由供应商加盖其单位公章。</w:t>
      </w:r>
    </w:p>
    <w:p>
      <w:pPr>
        <w:pStyle w:val="12"/>
        <w:widowControl/>
        <w:spacing w:beforeAutospacing="0" w:afterAutospacing="0" w:line="480" w:lineRule="atLeast"/>
        <w:ind w:firstLine="480"/>
        <w:rPr>
          <w:rFonts w:ascii="宋体" w:hAnsi="宋体" w:eastAsia="宋体" w:cs="宋体"/>
        </w:rPr>
      </w:pPr>
    </w:p>
    <w:p>
      <w:pPr>
        <w:pStyle w:val="12"/>
        <w:widowControl/>
        <w:spacing w:beforeAutospacing="0" w:afterAutospacing="0" w:line="480" w:lineRule="atLeast"/>
        <w:ind w:firstLine="480"/>
        <w:rPr>
          <w:rFonts w:ascii="宋体" w:hAnsi="宋体" w:eastAsia="宋体" w:cs="宋体"/>
        </w:rPr>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w:t>
      </w:r>
    </w:p>
    <w:p>
      <w:pPr>
        <w:rPr>
          <w:rFonts w:ascii="宋体" w:hAnsi="宋体" w:eastAsia="宋体" w:cs="宋体"/>
          <w:b/>
          <w:bCs/>
          <w:sz w:val="24"/>
        </w:rPr>
      </w:pPr>
      <w:r>
        <w:rPr>
          <w:rFonts w:hint="eastAsia" w:ascii="宋体" w:hAnsi="宋体" w:eastAsia="宋体" w:cs="宋体"/>
          <w:b/>
          <w:bCs/>
          <w:sz w:val="24"/>
        </w:rPr>
        <w:br w:type="page"/>
      </w:r>
    </w:p>
    <w:p>
      <w:pPr>
        <w:pStyle w:val="6"/>
        <w:widowControl/>
        <w:spacing w:beforeAutospacing="0" w:afterAutospacing="0" w:line="480" w:lineRule="atLeast"/>
        <w:jc w:val="center"/>
        <w:rPr>
          <w:rFonts w:hint="default" w:cs="宋体"/>
        </w:rPr>
      </w:pPr>
      <w:r>
        <w:rPr>
          <w:rFonts w:cs="宋体"/>
        </w:rPr>
        <w:t>附件6 依法缴纳税收证明材料</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1、依法缴纳税收的供应商</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）法人（包括企业、事业单位和社会团体）的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）非法人（包括其他组织、自然人）的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2、依法减免税收的供应商</w:t>
      </w:r>
    </w:p>
    <w:p>
      <w:pPr>
        <w:pStyle w:val="12"/>
        <w:widowControl/>
        <w:spacing w:beforeAutospacing="0" w:afterAutospacing="0" w:line="480" w:lineRule="atLeast"/>
        <w:ind w:firstLine="480"/>
      </w:pPr>
      <w:r>
        <w:rPr>
          <w:rFonts w:hint="eastAsia" w:ascii="宋体" w:hAnsi="宋体" w:eastAsia="宋体" w:cs="宋体"/>
        </w:rPr>
        <w:t>（ ）现附上我方依法免税证明材料复印件，上述证明材料真实有效，否则我方负全部责任。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※注意</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2、供应商提供的税收凭据复印件应符合下列规定：</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2.2提交响应文件截止时间的当月成立且已依法缴纳税收的供应商，提供提交响应文件截止时间当月的税收凭据复印件。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2.3提交响应文件截止时间的当月成立但因税务机关原因导致其尚未依法缴纳税收的供应商，提供依法缴纳税收承诺书原件（格式自拟），该承诺书视同税收凭据。</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6"/>
        <w:widowControl/>
        <w:spacing w:beforeAutospacing="0" w:afterAutospacing="0" w:line="480" w:lineRule="atLeast"/>
        <w:jc w:val="center"/>
        <w:rPr>
          <w:rFonts w:hint="default" w:cs="宋体"/>
        </w:rPr>
      </w:pPr>
      <w:r>
        <w:rPr>
          <w:rFonts w:cs="宋体"/>
        </w:rPr>
        <w:t>附件7 依法缴纳社会保障资金证明材料</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1、依法缴纳社会保障资金的供应商</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）法人（包括企业、事业单位和社会团体）的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）非法人（包括其他组织、自然人）的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2、依法不需要缴纳或暂缓缴纳社会保障资金的供应商</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（）现附上我方依法不需要缴纳社会保障资金证明材料复印件，上述证明材料真实有效，否则我方负全部责任。</w:t>
      </w:r>
    </w:p>
    <w:p>
      <w:pPr>
        <w:pStyle w:val="12"/>
        <w:widowControl/>
        <w:spacing w:beforeAutospacing="0" w:afterAutospacing="0"/>
        <w:ind w:firstLine="480"/>
        <w:rPr>
          <w:rFonts w:ascii="宋体" w:hAnsi="宋体" w:eastAsia="宋体" w:cs="宋体"/>
        </w:rPr>
      </w:pPr>
      <w:r>
        <w:rPr>
          <w:rFonts w:hint="eastAsia" w:ascii="宋体" w:hAnsi="宋体" w:eastAsia="宋体" w:cs="宋体"/>
        </w:rPr>
        <w:t>※注意</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2、供应商提供的社会保险凭据复印件应符合下列规定：</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2"/>
        <w:widowControl/>
        <w:spacing w:beforeAutospacing="0" w:afterAutospacing="0"/>
        <w:ind w:firstLine="480"/>
        <w:rPr>
          <w:rFonts w:ascii="宋体" w:hAnsi="宋体" w:eastAsia="宋体" w:cs="宋体"/>
        </w:rPr>
      </w:pPr>
      <w:r>
        <w:rPr>
          <w:rFonts w:hint="eastAsia" w:ascii="宋体" w:hAnsi="宋体" w:eastAsia="宋体" w:cs="宋体"/>
        </w:rPr>
        <w:t>2.2提交响应文件截止时间的当月成立且已依法缴纳社会保障资金的供应商，提供提交响应文件截止时间当月的社会保险凭据复印件。</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6"/>
        <w:widowControl/>
        <w:spacing w:beforeAutospacing="0" w:afterAutospacing="0" w:line="480" w:lineRule="atLeast"/>
        <w:jc w:val="center"/>
        <w:rPr>
          <w:rFonts w:hint="default" w:cs="宋体"/>
        </w:rPr>
      </w:pPr>
      <w:r>
        <w:rPr>
          <w:rFonts w:cs="宋体"/>
        </w:rPr>
        <w:t>附件8 参加采购活动前三年内在经营活动中没有重大违法记录书面声明</w:t>
      </w:r>
    </w:p>
    <w:p>
      <w:pPr>
        <w:pStyle w:val="12"/>
        <w:widowControl/>
        <w:spacing w:beforeAutospacing="0" w:afterAutospacing="0" w:line="480" w:lineRule="atLeast"/>
        <w:ind w:firstLine="480"/>
        <w:rPr>
          <w:rFonts w:ascii="宋体" w:hAnsi="宋体" w:eastAsia="宋体" w:cs="宋体"/>
        </w:rPr>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jc w:val="left"/>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特此申明。</w:t>
      </w:r>
    </w:p>
    <w:p>
      <w:pPr>
        <w:widowControl/>
        <w:jc w:val="left"/>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line="480" w:lineRule="atLeast"/>
        <w:ind w:firstLine="480"/>
        <w:rPr>
          <w:rFonts w:ascii="宋体" w:hAnsi="宋体" w:eastAsia="宋体" w:cs="宋体"/>
        </w:rPr>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※注意：</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2、请供应商根据实际情况如实声明，否则视为提供虚假材料。</w:t>
      </w:r>
    </w:p>
    <w:p>
      <w:pPr>
        <w:rPr>
          <w:rFonts w:ascii="宋体" w:hAnsi="宋体" w:eastAsia="宋体" w:cs="宋体"/>
          <w:b/>
          <w:bCs/>
          <w:sz w:val="24"/>
        </w:rPr>
      </w:pPr>
      <w:r>
        <w:rPr>
          <w:rFonts w:hint="eastAsia" w:ascii="宋体" w:hAnsi="宋体" w:eastAsia="宋体" w:cs="宋体"/>
          <w:b/>
          <w:bCs/>
          <w:sz w:val="24"/>
        </w:rPr>
        <w:br w:type="page"/>
      </w:r>
    </w:p>
    <w:p>
      <w:pPr>
        <w:pStyle w:val="6"/>
        <w:widowControl/>
        <w:spacing w:beforeAutospacing="0" w:afterAutospacing="0" w:line="480" w:lineRule="atLeast"/>
        <w:jc w:val="center"/>
        <w:rPr>
          <w:rFonts w:hint="default" w:cs="宋体"/>
        </w:rPr>
      </w:pPr>
      <w:r>
        <w:rPr>
          <w:rFonts w:cs="宋体"/>
        </w:rPr>
        <w:t>附件9 信用记录查询结果</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1、由评审小组通过网站查询并打印供应商的信用记录。</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 </w:t>
      </w:r>
    </w:p>
    <w:p>
      <w:pPr>
        <w:rPr>
          <w:rFonts w:ascii="宋体" w:hAnsi="宋体" w:eastAsia="宋体" w:cs="宋体"/>
          <w:sz w:val="24"/>
        </w:rPr>
      </w:pPr>
      <w:r>
        <w:rPr>
          <w:rFonts w:hint="eastAsia" w:ascii="宋体" w:hAnsi="宋体" w:eastAsia="宋体" w:cs="宋体"/>
          <w:sz w:val="24"/>
        </w:rPr>
        <w:br w:type="page"/>
      </w:r>
    </w:p>
    <w:p>
      <w:pPr>
        <w:pStyle w:val="12"/>
        <w:widowControl/>
        <w:spacing w:beforeAutospacing="0" w:afterAutospacing="0" w:line="480" w:lineRule="atLeast"/>
        <w:ind w:firstLine="562"/>
        <w:jc w:val="center"/>
        <w:rPr>
          <w:rFonts w:ascii="宋体" w:hAnsi="宋体" w:eastAsia="宋体" w:cs="宋体"/>
          <w:b/>
          <w:bCs/>
          <w:sz w:val="28"/>
          <w:szCs w:val="28"/>
        </w:rPr>
      </w:pPr>
      <w:r>
        <w:rPr>
          <w:rFonts w:hint="eastAsia" w:ascii="宋体" w:hAnsi="宋体" w:eastAsia="宋体" w:cs="宋体"/>
          <w:b/>
          <w:bCs/>
          <w:sz w:val="28"/>
          <w:szCs w:val="28"/>
          <w:lang w:bidi="ar"/>
        </w:rPr>
        <w:t>二、</w:t>
      </w:r>
      <w:r>
        <w:rPr>
          <w:rFonts w:hint="eastAsia" w:asciiTheme="minorEastAsia" w:hAnsiTheme="minorEastAsia" w:cstheme="minorEastAsia"/>
          <w:b/>
          <w:bCs/>
          <w:sz w:val="28"/>
          <w:szCs w:val="28"/>
        </w:rPr>
        <w:t>技术商务</w:t>
      </w:r>
      <w:r>
        <w:rPr>
          <w:rFonts w:hint="eastAsia" w:ascii="宋体" w:hAnsi="宋体" w:eastAsia="宋体" w:cs="宋体"/>
          <w:b/>
          <w:bCs/>
          <w:sz w:val="28"/>
          <w:szCs w:val="28"/>
        </w:rPr>
        <w:t>部分</w:t>
      </w:r>
    </w:p>
    <w:p>
      <w:pPr>
        <w:pStyle w:val="12"/>
        <w:widowControl/>
        <w:spacing w:beforeAutospacing="0" w:afterAutospacing="0" w:line="480" w:lineRule="atLeast"/>
        <w:ind w:firstLine="482"/>
        <w:jc w:val="center"/>
        <w:rPr>
          <w:rFonts w:ascii="宋体" w:hAnsi="宋体" w:eastAsia="宋体" w:cs="宋体"/>
          <w:b/>
          <w:bCs/>
        </w:rPr>
      </w:pPr>
      <w:r>
        <w:rPr>
          <w:rFonts w:hint="eastAsia" w:ascii="宋体" w:hAnsi="宋体" w:eastAsia="宋体" w:cs="宋体"/>
          <w:b/>
          <w:bCs/>
        </w:rPr>
        <w:t>附件1  采购需求响应表</w:t>
      </w:r>
    </w:p>
    <w:p>
      <w:pPr>
        <w:pStyle w:val="12"/>
        <w:widowControl/>
        <w:spacing w:beforeAutospacing="0" w:afterAutospacing="0" w:line="480" w:lineRule="atLeast"/>
        <w:rPr>
          <w:rFonts w:ascii="宋体" w:hAnsi="宋体" w:eastAsia="宋体" w:cs="宋体"/>
        </w:rPr>
      </w:pPr>
    </w:p>
    <w:p>
      <w:pPr>
        <w:pStyle w:val="12"/>
        <w:widowControl/>
        <w:spacing w:beforeAutospacing="0" w:afterAutospacing="0" w:line="480" w:lineRule="atLeast"/>
        <w:rPr>
          <w:rFonts w:ascii="宋体" w:hAnsi="宋体" w:eastAsia="宋体" w:cs="宋体"/>
        </w:rPr>
      </w:pPr>
      <w:r>
        <w:rPr>
          <w:rFonts w:hint="eastAsia" w:ascii="宋体" w:hAnsi="宋体" w:eastAsia="宋体" w:cs="宋体"/>
        </w:rPr>
        <w:t>项目名称：</w:t>
      </w:r>
      <w:r>
        <w:rPr>
          <w:rFonts w:hint="eastAsia" w:ascii="宋体" w:hAnsi="宋体" w:eastAsia="宋体" w:cs="宋体"/>
          <w:u w:val="single"/>
        </w:rPr>
        <w:t>　　　　　　　　　　</w:t>
      </w:r>
      <w:r>
        <w:rPr>
          <w:rFonts w:hint="eastAsia" w:ascii="宋体" w:hAnsi="宋体" w:eastAsia="宋体" w:cs="宋体"/>
        </w:rPr>
        <w:t xml:space="preserve"> </w:t>
      </w:r>
    </w:p>
    <w:p>
      <w:pPr>
        <w:pStyle w:val="12"/>
        <w:widowControl/>
        <w:spacing w:beforeAutospacing="0" w:afterAutospacing="0" w:line="480" w:lineRule="atLeast"/>
        <w:rPr>
          <w:rFonts w:ascii="宋体" w:hAnsi="宋体" w:eastAsia="宋体" w:cs="宋体"/>
          <w:u w:val="single"/>
        </w:rPr>
      </w:pPr>
      <w:r>
        <w:rPr>
          <w:rFonts w:hint="eastAsia" w:ascii="宋体" w:hAnsi="宋体" w:eastAsia="宋体" w:cs="宋体"/>
        </w:rPr>
        <w:t>项目编号：</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u w:val="single"/>
        </w:rPr>
      </w:pPr>
    </w:p>
    <w:tbl>
      <w:tblPr>
        <w:tblStyle w:val="14"/>
        <w:tblW w:w="4998" w:type="pct"/>
        <w:tblInd w:w="0" w:type="dxa"/>
        <w:tblLayout w:type="autofit"/>
        <w:tblCellMar>
          <w:top w:w="0" w:type="dxa"/>
          <w:left w:w="0" w:type="dxa"/>
          <w:bottom w:w="0" w:type="dxa"/>
          <w:right w:w="0" w:type="dxa"/>
        </w:tblCellMar>
      </w:tblPr>
      <w:tblGrid>
        <w:gridCol w:w="932"/>
        <w:gridCol w:w="3924"/>
        <w:gridCol w:w="2470"/>
        <w:gridCol w:w="1217"/>
      </w:tblGrid>
      <w:tr>
        <w:tblPrEx>
          <w:tblCellMar>
            <w:top w:w="0" w:type="dxa"/>
            <w:left w:w="0" w:type="dxa"/>
            <w:bottom w:w="0" w:type="dxa"/>
            <w:right w:w="0" w:type="dxa"/>
          </w:tblCellMar>
        </w:tblPrEx>
        <w:trPr>
          <w:trHeight w:val="1118" w:hRule="atLeast"/>
        </w:trPr>
        <w:tc>
          <w:tcPr>
            <w:tcW w:w="5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序号</w:t>
            </w:r>
          </w:p>
        </w:tc>
        <w:tc>
          <w:tcPr>
            <w:tcW w:w="229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采购文件规定的采购内容及要求</w:t>
            </w:r>
          </w:p>
        </w:tc>
        <w:tc>
          <w:tcPr>
            <w:tcW w:w="14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响应文件响应承诺</w:t>
            </w:r>
          </w:p>
        </w:tc>
        <w:tc>
          <w:tcPr>
            <w:tcW w:w="71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是否偏离及说明</w:t>
            </w:r>
          </w:p>
        </w:tc>
      </w:tr>
      <w:tr>
        <w:tblPrEx>
          <w:tblCellMar>
            <w:top w:w="0" w:type="dxa"/>
            <w:left w:w="0" w:type="dxa"/>
            <w:bottom w:w="0" w:type="dxa"/>
            <w:right w:w="0" w:type="dxa"/>
          </w:tblCellMar>
        </w:tblPrEx>
        <w:tc>
          <w:tcPr>
            <w:tcW w:w="5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ascii="宋体" w:hAnsi="宋体" w:eastAsia="宋体" w:cs="宋体"/>
                <w:sz w:val="24"/>
              </w:rPr>
            </w:pPr>
          </w:p>
        </w:tc>
        <w:tc>
          <w:tcPr>
            <w:tcW w:w="229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4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71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tblPrEx>
          <w:tblCellMar>
            <w:top w:w="0" w:type="dxa"/>
            <w:left w:w="0" w:type="dxa"/>
            <w:bottom w:w="0" w:type="dxa"/>
            <w:right w:w="0" w:type="dxa"/>
          </w:tblCellMar>
        </w:tblPrEx>
        <w:tc>
          <w:tcPr>
            <w:tcW w:w="5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ascii="宋体" w:hAnsi="宋体" w:eastAsia="宋体" w:cs="宋体"/>
                <w:sz w:val="24"/>
              </w:rPr>
            </w:pPr>
          </w:p>
        </w:tc>
        <w:tc>
          <w:tcPr>
            <w:tcW w:w="229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4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71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tblPrEx>
          <w:tblCellMar>
            <w:top w:w="0" w:type="dxa"/>
            <w:left w:w="0" w:type="dxa"/>
            <w:bottom w:w="0" w:type="dxa"/>
            <w:right w:w="0" w:type="dxa"/>
          </w:tblCellMar>
        </w:tblPrEx>
        <w:tc>
          <w:tcPr>
            <w:tcW w:w="5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ascii="宋体" w:hAnsi="宋体" w:eastAsia="宋体" w:cs="宋体"/>
                <w:sz w:val="24"/>
              </w:rPr>
            </w:pPr>
          </w:p>
        </w:tc>
        <w:tc>
          <w:tcPr>
            <w:tcW w:w="229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4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71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注：（1）供应商须根据采购文件</w:t>
      </w:r>
      <w:r>
        <w:rPr>
          <w:rFonts w:hint="eastAsia" w:ascii="宋体" w:hAnsi="宋体" w:eastAsia="宋体" w:cs="宋体"/>
          <w:b/>
          <w:bCs/>
        </w:rPr>
        <w:t>（含</w:t>
      </w:r>
      <w:r>
        <w:rPr>
          <w:rFonts w:hint="eastAsia" w:asciiTheme="minorEastAsia" w:hAnsiTheme="minorEastAsia" w:cstheme="minorEastAsia"/>
          <w:b/>
          <w:bCs/>
        </w:rPr>
        <w:t>3.1</w:t>
      </w:r>
      <w:r>
        <w:rPr>
          <w:rFonts w:hint="eastAsia" w:ascii="宋体" w:hAnsi="宋体" w:eastAsia="宋体" w:cs="宋体"/>
          <w:b/>
          <w:bCs/>
        </w:rPr>
        <w:t>技术和服务要求、3.2商务要求、3.3运维清单、3.4其他事项等）</w:t>
      </w:r>
      <w:r>
        <w:rPr>
          <w:rFonts w:hint="eastAsia" w:ascii="宋体" w:hAnsi="宋体" w:eastAsia="宋体" w:cs="宋体"/>
        </w:rPr>
        <w:t>规定的各相关条款要求承诺逐项作出明确应答与承诺，未作明确应答与承诺的评审小组会做出不利于供应商的判定，相关指标视为负偏离。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给采购人和采购代理机构造成损失的，还必须进行赔偿并负相关责任。</w:t>
      </w:r>
    </w:p>
    <w:p>
      <w:pPr>
        <w:widowControl/>
        <w:spacing w:after="240"/>
        <w:jc w:val="left"/>
      </w:pPr>
    </w:p>
    <w:p>
      <w:pPr>
        <w:pStyle w:val="12"/>
        <w:widowControl/>
        <w:spacing w:beforeAutospacing="0" w:afterAutospacing="0" w:line="360" w:lineRule="auto"/>
        <w:rPr>
          <w:rFonts w:ascii="宋体" w:hAnsi="宋体" w:eastAsia="宋体" w:cs="宋体"/>
        </w:rPr>
      </w:pPr>
    </w:p>
    <w:p>
      <w:pPr>
        <w:pStyle w:val="12"/>
        <w:widowControl/>
        <w:spacing w:beforeAutospacing="0" w:afterAutospacing="0" w:line="360" w:lineRule="auto"/>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spacing w:line="360" w:lineRule="auto"/>
        <w:rPr>
          <w:rFonts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（全称加盖单位公章）   </w:t>
      </w:r>
    </w:p>
    <w:p>
      <w:pPr>
        <w:spacing w:line="360" w:lineRule="auto"/>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br w:type="page"/>
      </w:r>
    </w:p>
    <w:p>
      <w:pPr>
        <w:pStyle w:val="12"/>
        <w:widowControl/>
        <w:spacing w:beforeAutospacing="0" w:afterAutospacing="0" w:line="480" w:lineRule="atLeast"/>
        <w:ind w:firstLine="542"/>
        <w:jc w:val="center"/>
        <w:rPr>
          <w:rFonts w:ascii="宋体" w:hAnsi="宋体" w:eastAsia="宋体" w:cs="宋体"/>
          <w:b/>
          <w:bCs/>
          <w:sz w:val="27"/>
          <w:szCs w:val="27"/>
          <w:shd w:val="clear" w:color="auto" w:fill="FFFFFF"/>
        </w:rPr>
      </w:pPr>
      <w:r>
        <w:rPr>
          <w:rFonts w:hint="eastAsia" w:ascii="宋体" w:hAnsi="宋体" w:eastAsia="宋体" w:cs="宋体"/>
          <w:b/>
          <w:bCs/>
          <w:sz w:val="27"/>
          <w:szCs w:val="27"/>
          <w:shd w:val="clear" w:color="auto" w:fill="FFFFFF"/>
        </w:rPr>
        <w:t>附件2  报价表</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项目名称：</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u w:val="single"/>
        </w:rPr>
      </w:pPr>
      <w:r>
        <w:rPr>
          <w:rFonts w:hint="eastAsia" w:ascii="宋体" w:hAnsi="宋体" w:eastAsia="宋体" w:cs="宋体"/>
        </w:rPr>
        <w:t>项目编号：</w:t>
      </w:r>
      <w:r>
        <w:rPr>
          <w:rFonts w:hint="eastAsia" w:ascii="宋体" w:hAnsi="宋体" w:eastAsia="宋体" w:cs="宋体"/>
          <w:u w:val="single"/>
        </w:rPr>
        <w:t>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货币单位：元人民币</w:t>
      </w:r>
    </w:p>
    <w:tbl>
      <w:tblPr>
        <w:tblStyle w:val="14"/>
        <w:tblW w:w="4999" w:type="pct"/>
        <w:tblInd w:w="0" w:type="dxa"/>
        <w:tblLayout w:type="autofit"/>
        <w:tblCellMar>
          <w:top w:w="0" w:type="dxa"/>
          <w:left w:w="0" w:type="dxa"/>
          <w:bottom w:w="0" w:type="dxa"/>
          <w:right w:w="0" w:type="dxa"/>
        </w:tblCellMar>
      </w:tblPr>
      <w:tblGrid>
        <w:gridCol w:w="983"/>
        <w:gridCol w:w="2007"/>
        <w:gridCol w:w="1668"/>
        <w:gridCol w:w="3886"/>
      </w:tblGrid>
      <w:tr>
        <w:tblPrEx>
          <w:tblCellMar>
            <w:top w:w="0" w:type="dxa"/>
            <w:left w:w="0" w:type="dxa"/>
            <w:bottom w:w="0" w:type="dxa"/>
            <w:right w:w="0" w:type="dxa"/>
          </w:tblCellMar>
        </w:tblPrEx>
        <w:trPr>
          <w:trHeight w:val="908" w:hRule="atLeast"/>
        </w:trPr>
        <w:tc>
          <w:tcPr>
            <w:tcW w:w="5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序号</w:t>
            </w:r>
          </w:p>
        </w:tc>
        <w:tc>
          <w:tcPr>
            <w:tcW w:w="11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项目名称</w:t>
            </w:r>
          </w:p>
        </w:tc>
        <w:tc>
          <w:tcPr>
            <w:tcW w:w="97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服务期限</w:t>
            </w:r>
          </w:p>
        </w:tc>
        <w:tc>
          <w:tcPr>
            <w:tcW w:w="2273" w:type="pct"/>
            <w:tcBorders>
              <w:top w:val="single" w:color="000000" w:sz="6" w:space="0"/>
              <w:left w:val="single" w:color="000000" w:sz="6" w:space="0"/>
              <w:bottom w:val="single" w:color="auto" w:sz="4"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投标报价（最终报价）</w:t>
            </w:r>
          </w:p>
        </w:tc>
      </w:tr>
      <w:tr>
        <w:tblPrEx>
          <w:tblCellMar>
            <w:top w:w="0" w:type="dxa"/>
            <w:left w:w="0" w:type="dxa"/>
            <w:bottom w:w="0" w:type="dxa"/>
            <w:right w:w="0" w:type="dxa"/>
          </w:tblCellMar>
        </w:tblPrEx>
        <w:trPr>
          <w:trHeight w:val="686" w:hRule="atLeast"/>
        </w:trPr>
        <w:tc>
          <w:tcPr>
            <w:tcW w:w="5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11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976" w:type="pct"/>
            <w:tcBorders>
              <w:top w:val="single" w:color="000000" w:sz="6" w:space="0"/>
              <w:left w:val="single" w:color="000000" w:sz="6" w:space="0"/>
              <w:bottom w:val="single" w:color="000000" w:sz="6" w:space="0"/>
              <w:right w:val="single" w:color="auto" w:sz="4"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2273" w:type="pct"/>
            <w:tcBorders>
              <w:top w:val="single" w:color="auto" w:sz="4" w:space="0"/>
              <w:left w:val="single" w:color="auto" w:sz="4" w:space="0"/>
              <w:bottom w:val="single" w:color="auto" w:sz="4" w:space="0"/>
              <w:right w:val="single" w:color="auto" w:sz="4"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r>
      <w:tr>
        <w:tblPrEx>
          <w:tblCellMar>
            <w:top w:w="0" w:type="dxa"/>
            <w:left w:w="0" w:type="dxa"/>
            <w:bottom w:w="0" w:type="dxa"/>
            <w:right w:w="0" w:type="dxa"/>
          </w:tblCellMar>
        </w:tblPrEx>
        <w:trPr>
          <w:trHeight w:val="686" w:hRule="atLeast"/>
        </w:trPr>
        <w:tc>
          <w:tcPr>
            <w:tcW w:w="5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11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976" w:type="pct"/>
            <w:tcBorders>
              <w:top w:val="single" w:color="000000" w:sz="6" w:space="0"/>
              <w:left w:val="single" w:color="000000" w:sz="6" w:space="0"/>
              <w:bottom w:val="single" w:color="000000" w:sz="6" w:space="0"/>
              <w:right w:val="single" w:color="auto" w:sz="4"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2273" w:type="pct"/>
            <w:tcBorders>
              <w:top w:val="single" w:color="auto" w:sz="4" w:space="0"/>
              <w:left w:val="single" w:color="auto" w:sz="4" w:space="0"/>
              <w:bottom w:val="single" w:color="auto" w:sz="4" w:space="0"/>
              <w:right w:val="single" w:color="auto" w:sz="4"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r>
      <w:tr>
        <w:tblPrEx>
          <w:tblCellMar>
            <w:top w:w="0" w:type="dxa"/>
            <w:left w:w="0" w:type="dxa"/>
            <w:bottom w:w="0" w:type="dxa"/>
            <w:right w:w="0" w:type="dxa"/>
          </w:tblCellMar>
        </w:tblPrEx>
        <w:trPr>
          <w:trHeight w:val="686" w:hRule="atLeast"/>
        </w:trPr>
        <w:tc>
          <w:tcPr>
            <w:tcW w:w="5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11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976" w:type="pct"/>
            <w:tcBorders>
              <w:top w:val="single" w:color="000000" w:sz="6" w:space="0"/>
              <w:left w:val="single" w:color="000000" w:sz="6" w:space="0"/>
              <w:bottom w:val="single" w:color="000000" w:sz="6" w:space="0"/>
              <w:right w:val="single" w:color="auto" w:sz="4"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c>
          <w:tcPr>
            <w:tcW w:w="2273" w:type="pct"/>
            <w:tcBorders>
              <w:top w:val="single" w:color="auto" w:sz="4" w:space="0"/>
              <w:left w:val="single" w:color="auto" w:sz="4" w:space="0"/>
              <w:bottom w:val="single" w:color="auto" w:sz="4" w:space="0"/>
              <w:right w:val="single" w:color="auto" w:sz="4" w:space="0"/>
            </w:tcBorders>
            <w:shd w:val="clear" w:color="auto" w:fill="auto"/>
            <w:tcMar>
              <w:top w:w="0" w:type="dxa"/>
              <w:left w:w="120" w:type="dxa"/>
              <w:right w:w="120" w:type="dxa"/>
            </w:tcMar>
            <w:vAlign w:val="center"/>
          </w:tcPr>
          <w:p>
            <w:pPr>
              <w:pStyle w:val="12"/>
              <w:widowControl/>
              <w:wordWrap w:val="0"/>
              <w:spacing w:beforeAutospacing="0" w:afterAutospacing="0" w:line="480" w:lineRule="atLeast"/>
              <w:jc w:val="center"/>
              <w:rPr>
                <w:rFonts w:ascii="宋体" w:hAnsi="宋体" w:eastAsia="宋体" w:cs="宋体"/>
              </w:rPr>
            </w:pPr>
          </w:p>
        </w:tc>
      </w:tr>
    </w:tbl>
    <w:p>
      <w:pPr>
        <w:pStyle w:val="12"/>
        <w:widowControl/>
        <w:spacing w:beforeAutospacing="0" w:afterAutospacing="0" w:line="480" w:lineRule="atLeast"/>
        <w:ind w:firstLine="480"/>
        <w:rPr>
          <w:rFonts w:ascii="宋体" w:hAnsi="宋体" w:eastAsia="宋体" w:cs="宋体"/>
        </w:rPr>
      </w:pPr>
    </w:p>
    <w:p>
      <w:pPr>
        <w:pStyle w:val="12"/>
        <w:widowControl/>
        <w:spacing w:beforeAutospacing="0" w:afterAutospacing="0" w:line="480" w:lineRule="atLeast"/>
        <w:ind w:firstLine="480"/>
        <w:rPr>
          <w:rFonts w:ascii="宋体" w:hAnsi="宋体" w:eastAsia="宋体" w:cs="宋体"/>
        </w:rPr>
      </w:pP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备注：详细报价书后附，格式自拟。</w:t>
      </w:r>
    </w:p>
    <w:p>
      <w:pPr>
        <w:pStyle w:val="12"/>
        <w:widowControl/>
        <w:spacing w:beforeAutospacing="0" w:afterAutospacing="0" w:line="480" w:lineRule="atLeast"/>
        <w:ind w:firstLine="480"/>
        <w:rPr>
          <w:rFonts w:ascii="宋体" w:hAnsi="宋体" w:eastAsia="宋体" w:cs="宋体"/>
        </w:rPr>
      </w:pPr>
    </w:p>
    <w:p>
      <w:pPr>
        <w:pStyle w:val="12"/>
        <w:widowControl/>
        <w:spacing w:beforeAutospacing="0" w:afterAutospacing="0" w:line="480" w:lineRule="atLeast"/>
        <w:ind w:firstLine="480"/>
        <w:rPr>
          <w:rFonts w:ascii="宋体" w:hAnsi="宋体" w:eastAsia="宋体" w:cs="宋体"/>
          <w:u w:val="single"/>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line="480" w:lineRule="atLeast"/>
        <w:ind w:firstLine="480"/>
        <w:rPr>
          <w:rFonts w:ascii="宋体" w:hAnsi="宋体" w:eastAsia="宋体" w:cs="宋体"/>
          <w:u w:val="single"/>
        </w:rPr>
      </w:pPr>
      <w:r>
        <w:rPr>
          <w:rFonts w:hint="eastAsia" w:ascii="宋体" w:hAnsi="宋体" w:eastAsia="宋体" w:cs="宋体"/>
        </w:rPr>
        <w:t>供应商名称：</w:t>
      </w:r>
      <w:r>
        <w:rPr>
          <w:rFonts w:hint="eastAsia" w:ascii="宋体" w:hAnsi="宋体" w:eastAsia="宋体" w:cs="宋体"/>
          <w:u w:val="single"/>
        </w:rPr>
        <w:t>（全称加盖单位公章）</w:t>
      </w:r>
    </w:p>
    <w:p>
      <w:pPr>
        <w:pStyle w:val="12"/>
        <w:widowControl/>
        <w:spacing w:beforeAutospacing="0" w:afterAutospacing="0" w:line="480" w:lineRule="atLeast"/>
        <w:ind w:firstLine="480"/>
        <w:rPr>
          <w:rFonts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w:t>
      </w:r>
    </w:p>
    <w:p>
      <w:pPr>
        <w:pStyle w:val="12"/>
        <w:widowControl/>
        <w:spacing w:beforeAutospacing="0" w:afterAutospacing="0" w:line="480" w:lineRule="atLeast"/>
        <w:rPr>
          <w:rFonts w:ascii="宋体" w:hAnsi="宋体" w:eastAsia="宋体" w:cs="宋体"/>
        </w:rPr>
      </w:pPr>
    </w:p>
    <w:p>
      <w:pPr>
        <w:rPr>
          <w:rFonts w:ascii="宋体" w:hAnsi="宋体" w:eastAsia="宋体" w:cs="宋体"/>
          <w:b/>
          <w:bCs/>
          <w:sz w:val="27"/>
          <w:szCs w:val="27"/>
          <w:shd w:val="clear" w:color="auto" w:fill="FFFFFF"/>
        </w:rPr>
      </w:pPr>
      <w:r>
        <w:rPr>
          <w:rFonts w:hint="eastAsia" w:ascii="宋体" w:hAnsi="宋体" w:eastAsia="宋体" w:cs="宋体"/>
          <w:b/>
          <w:bCs/>
          <w:sz w:val="27"/>
          <w:szCs w:val="27"/>
          <w:shd w:val="clear" w:color="auto" w:fill="FFFFFF"/>
        </w:rPr>
        <w:br w:type="page"/>
      </w:r>
    </w:p>
    <w:p>
      <w:pPr>
        <w:pStyle w:val="5"/>
        <w:widowControl/>
        <w:shd w:val="clear" w:color="auto" w:fill="FFFFFF"/>
        <w:spacing w:beforeAutospacing="0" w:afterAutospacing="0" w:line="480" w:lineRule="atLeast"/>
        <w:jc w:val="center"/>
        <w:rPr>
          <w:rFonts w:hint="default" w:cs="宋体"/>
        </w:rPr>
      </w:pPr>
      <w:r>
        <w:rPr>
          <w:rFonts w:cs="宋体"/>
          <w:shd w:val="clear" w:color="auto" w:fill="FFFFFF"/>
        </w:rPr>
        <w:t>附件3 要求作为响应文件组成部分的其他内容（若有）</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说明：</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1、采购人或采购代理机构可以根据项目的特点和需要，在采购文件中对要求作为响应文件组成部分的其他内容进行具体规定或附表格式，供应商应按照采购文件要求提供相关承诺及材料，并加盖供应商单位公章。</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2、供应商根据自身实际情况编写有关资料包括如供应商单位简介、采购文件要求提供或供应商自已认为体现自身优势，需要补充说明的其它资料，格式自拟。</w:t>
      </w:r>
    </w:p>
    <w:p>
      <w:pPr>
        <w:widowControl/>
        <w:spacing w:after="240"/>
        <w:jc w:val="left"/>
      </w:pPr>
      <w:r>
        <w:rPr>
          <w:rFonts w:ascii="宋体" w:hAnsi="宋体" w:eastAsia="宋体" w:cs="宋体"/>
          <w:kern w:val="0"/>
          <w:sz w:val="24"/>
          <w:lang w:bidi="ar"/>
        </w:rPr>
        <w:br w:type="textWrapping"/>
      </w:r>
      <w:r>
        <w:rPr>
          <w:rFonts w:ascii="宋体" w:hAnsi="宋体" w:eastAsia="宋体" w:cs="宋体"/>
          <w:kern w:val="0"/>
          <w:sz w:val="24"/>
          <w:lang w:bidi="ar"/>
        </w:rPr>
        <w:br w:type="textWrapping"/>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　　　</w:t>
      </w:r>
    </w:p>
    <w:p>
      <w:pPr>
        <w:pStyle w:val="12"/>
        <w:widowControl/>
        <w:spacing w:beforeAutospacing="0" w:afterAutospacing="0" w:line="480" w:lineRule="atLeast"/>
        <w:ind w:firstLine="48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
    <w:p>
      <w:pPr>
        <w:pStyle w:val="12"/>
        <w:widowControl/>
        <w:spacing w:beforeAutospacing="0" w:afterAutospacing="0"/>
        <w:ind w:firstLine="480" w:firstLineChars="200"/>
        <w:rPr>
          <w:rStyle w:val="17"/>
          <w:rFonts w:asciiTheme="minorEastAsia" w:hAnsiTheme="minorEastAsia" w:cstheme="minorEastAsia"/>
          <w:b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70B28"/>
    <w:multiLevelType w:val="multilevel"/>
    <w:tmpl w:val="43F70B28"/>
    <w:lvl w:ilvl="0" w:tentative="0">
      <w:start w:val="1"/>
      <w:numFmt w:val="chineseCountingThousand"/>
      <w:pStyle w:val="3"/>
      <w:lvlText w:val="第%1章 "/>
      <w:lvlJc w:val="left"/>
      <w:pPr>
        <w:ind w:left="3680" w:hanging="425"/>
      </w:pPr>
      <w:rPr>
        <w:rFonts w:hint="eastAsia" w:cs="Times New Roman"/>
      </w:rPr>
    </w:lvl>
    <w:lvl w:ilvl="1" w:tentative="0">
      <w:start w:val="1"/>
      <w:numFmt w:val="decimal"/>
      <w:pStyle w:val="4"/>
      <w:lvlText w:val="%2."/>
      <w:lvlJc w:val="left"/>
      <w:pPr>
        <w:ind w:left="3828" w:hanging="567"/>
      </w:pPr>
      <w:rPr>
        <w:rFonts w:hint="eastAsia" w:cs="Times New Roman"/>
      </w:rPr>
    </w:lvl>
    <w:lvl w:ilvl="2" w:tentative="0">
      <w:start w:val="1"/>
      <w:numFmt w:val="decimal"/>
      <w:lvlText w:val="%2.%3"/>
      <w:lvlJc w:val="left"/>
      <w:pPr>
        <w:ind w:left="893" w:hanging="567"/>
      </w:pPr>
      <w:rPr>
        <w:rFonts w:hint="eastAsia" w:cs="Times New Roman"/>
      </w:rPr>
    </w:lvl>
    <w:lvl w:ilvl="3" w:tentative="0">
      <w:start w:val="1"/>
      <w:numFmt w:val="decimal"/>
      <w:lvlText w:val="%2.%3.%4"/>
      <w:lvlJc w:val="left"/>
      <w:pPr>
        <w:ind w:left="1459" w:hanging="708"/>
      </w:pPr>
      <w:rPr>
        <w:rFonts w:hint="eastAsia" w:cs="Times New Roman"/>
      </w:rPr>
    </w:lvl>
    <w:lvl w:ilvl="4" w:tentative="0">
      <w:start w:val="1"/>
      <w:numFmt w:val="decimal"/>
      <w:lvlText w:val="%2.%3.%4.%5"/>
      <w:lvlJc w:val="left"/>
      <w:pPr>
        <w:ind w:left="2026" w:hanging="850"/>
      </w:pPr>
      <w:rPr>
        <w:rFonts w:hint="eastAsia" w:cs="Times New Roman"/>
      </w:rPr>
    </w:lvl>
    <w:lvl w:ilvl="5" w:tentative="0">
      <w:start w:val="1"/>
      <w:numFmt w:val="decimal"/>
      <w:lvlText w:val="%2.%3.%4.%5.%6"/>
      <w:lvlJc w:val="left"/>
      <w:pPr>
        <w:ind w:left="2735" w:hanging="1134"/>
      </w:pPr>
      <w:rPr>
        <w:rFonts w:hint="eastAsia" w:cs="Times New Roman"/>
      </w:rPr>
    </w:lvl>
    <w:lvl w:ilvl="6" w:tentative="0">
      <w:start w:val="1"/>
      <w:numFmt w:val="decimal"/>
      <w:lvlText w:val="%1.%2.%3.%4.%5.%6.%7"/>
      <w:lvlJc w:val="left"/>
      <w:pPr>
        <w:ind w:left="3302" w:hanging="1276"/>
      </w:pPr>
      <w:rPr>
        <w:rFonts w:hint="eastAsia" w:cs="Times New Roman"/>
      </w:rPr>
    </w:lvl>
    <w:lvl w:ilvl="7" w:tentative="0">
      <w:start w:val="1"/>
      <w:numFmt w:val="decimal"/>
      <w:lvlText w:val="%1.%2.%3.%4.%5.%6.%7.%8"/>
      <w:lvlJc w:val="left"/>
      <w:pPr>
        <w:ind w:left="3869" w:hanging="1418"/>
      </w:pPr>
      <w:rPr>
        <w:rFonts w:hint="eastAsia" w:cs="Times New Roman"/>
      </w:rPr>
    </w:lvl>
    <w:lvl w:ilvl="8" w:tentative="0">
      <w:start w:val="1"/>
      <w:numFmt w:val="decimal"/>
      <w:lvlText w:val="%1.%2.%3.%4.%5.%6.%7.%8.%9"/>
      <w:lvlJc w:val="left"/>
      <w:pPr>
        <w:ind w:left="45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MDQyNzQ3ZTNiMDZmOGE2MTBlZDM5NzRiMzA4MTIifQ=="/>
  </w:docVars>
  <w:rsids>
    <w:rsidRoot w:val="2BFB2047"/>
    <w:rsid w:val="00001A92"/>
    <w:rsid w:val="00023D7D"/>
    <w:rsid w:val="00036A57"/>
    <w:rsid w:val="00047D93"/>
    <w:rsid w:val="000518B7"/>
    <w:rsid w:val="00055553"/>
    <w:rsid w:val="0005625B"/>
    <w:rsid w:val="00062578"/>
    <w:rsid w:val="000815DB"/>
    <w:rsid w:val="00085CAC"/>
    <w:rsid w:val="000A3C6A"/>
    <w:rsid w:val="000B2224"/>
    <w:rsid w:val="000D4A41"/>
    <w:rsid w:val="000E1D3D"/>
    <w:rsid w:val="000E69BD"/>
    <w:rsid w:val="000F3018"/>
    <w:rsid w:val="000F3769"/>
    <w:rsid w:val="000F5300"/>
    <w:rsid w:val="000F67EB"/>
    <w:rsid w:val="00117F4B"/>
    <w:rsid w:val="00132194"/>
    <w:rsid w:val="001464B2"/>
    <w:rsid w:val="00153C18"/>
    <w:rsid w:val="00155DE2"/>
    <w:rsid w:val="00156B3B"/>
    <w:rsid w:val="0016038A"/>
    <w:rsid w:val="00160C5B"/>
    <w:rsid w:val="0018565C"/>
    <w:rsid w:val="001872F9"/>
    <w:rsid w:val="001902E5"/>
    <w:rsid w:val="001A09F6"/>
    <w:rsid w:val="001B1627"/>
    <w:rsid w:val="00204074"/>
    <w:rsid w:val="0021321B"/>
    <w:rsid w:val="00223DAD"/>
    <w:rsid w:val="00224738"/>
    <w:rsid w:val="00233FA9"/>
    <w:rsid w:val="0025538E"/>
    <w:rsid w:val="00261F0E"/>
    <w:rsid w:val="002633E6"/>
    <w:rsid w:val="00275850"/>
    <w:rsid w:val="002B258C"/>
    <w:rsid w:val="002B2744"/>
    <w:rsid w:val="002B3D2A"/>
    <w:rsid w:val="002C208C"/>
    <w:rsid w:val="002C4A98"/>
    <w:rsid w:val="002F1406"/>
    <w:rsid w:val="00313365"/>
    <w:rsid w:val="00313EC0"/>
    <w:rsid w:val="00316058"/>
    <w:rsid w:val="003162A3"/>
    <w:rsid w:val="003250BB"/>
    <w:rsid w:val="00325562"/>
    <w:rsid w:val="00326065"/>
    <w:rsid w:val="0032683E"/>
    <w:rsid w:val="00343845"/>
    <w:rsid w:val="00351B12"/>
    <w:rsid w:val="00361E34"/>
    <w:rsid w:val="003849DB"/>
    <w:rsid w:val="003A4B23"/>
    <w:rsid w:val="003B1C22"/>
    <w:rsid w:val="003B33EC"/>
    <w:rsid w:val="003B4361"/>
    <w:rsid w:val="003E6772"/>
    <w:rsid w:val="003F719C"/>
    <w:rsid w:val="00463BD9"/>
    <w:rsid w:val="00472B01"/>
    <w:rsid w:val="00480D9B"/>
    <w:rsid w:val="00485682"/>
    <w:rsid w:val="0049335B"/>
    <w:rsid w:val="004A26FA"/>
    <w:rsid w:val="004C4307"/>
    <w:rsid w:val="004D697B"/>
    <w:rsid w:val="004F1189"/>
    <w:rsid w:val="0052020C"/>
    <w:rsid w:val="005206E1"/>
    <w:rsid w:val="00545D73"/>
    <w:rsid w:val="005525E6"/>
    <w:rsid w:val="00555CAC"/>
    <w:rsid w:val="0057575A"/>
    <w:rsid w:val="00576474"/>
    <w:rsid w:val="00580688"/>
    <w:rsid w:val="005821B7"/>
    <w:rsid w:val="005B1137"/>
    <w:rsid w:val="005C36A8"/>
    <w:rsid w:val="0063285F"/>
    <w:rsid w:val="006549A0"/>
    <w:rsid w:val="00665410"/>
    <w:rsid w:val="006867CB"/>
    <w:rsid w:val="006954AD"/>
    <w:rsid w:val="006A1FF3"/>
    <w:rsid w:val="006B5437"/>
    <w:rsid w:val="00702C4B"/>
    <w:rsid w:val="00715D02"/>
    <w:rsid w:val="00723D3E"/>
    <w:rsid w:val="00730EAD"/>
    <w:rsid w:val="00744428"/>
    <w:rsid w:val="00744C64"/>
    <w:rsid w:val="0074679F"/>
    <w:rsid w:val="0075159D"/>
    <w:rsid w:val="007A1753"/>
    <w:rsid w:val="007D1C04"/>
    <w:rsid w:val="0081217D"/>
    <w:rsid w:val="0084727F"/>
    <w:rsid w:val="00874CE0"/>
    <w:rsid w:val="00883560"/>
    <w:rsid w:val="0088758C"/>
    <w:rsid w:val="00893D72"/>
    <w:rsid w:val="008A551A"/>
    <w:rsid w:val="008B00EE"/>
    <w:rsid w:val="008B32C5"/>
    <w:rsid w:val="008B5BAC"/>
    <w:rsid w:val="008C32B8"/>
    <w:rsid w:val="008C4DAC"/>
    <w:rsid w:val="008D4922"/>
    <w:rsid w:val="008E18EF"/>
    <w:rsid w:val="008F20DF"/>
    <w:rsid w:val="008F28ED"/>
    <w:rsid w:val="00912EFC"/>
    <w:rsid w:val="00921356"/>
    <w:rsid w:val="009216AE"/>
    <w:rsid w:val="009236BF"/>
    <w:rsid w:val="00923D0D"/>
    <w:rsid w:val="009307E2"/>
    <w:rsid w:val="00936E70"/>
    <w:rsid w:val="00994783"/>
    <w:rsid w:val="009D064F"/>
    <w:rsid w:val="009D63DF"/>
    <w:rsid w:val="009E1DBB"/>
    <w:rsid w:val="009E6FFC"/>
    <w:rsid w:val="009F39B2"/>
    <w:rsid w:val="009F740B"/>
    <w:rsid w:val="00A20E33"/>
    <w:rsid w:val="00A342E1"/>
    <w:rsid w:val="00A85BF1"/>
    <w:rsid w:val="00A87E6F"/>
    <w:rsid w:val="00A972A1"/>
    <w:rsid w:val="00AE0069"/>
    <w:rsid w:val="00AF3E91"/>
    <w:rsid w:val="00B1272E"/>
    <w:rsid w:val="00B62938"/>
    <w:rsid w:val="00B76924"/>
    <w:rsid w:val="00BB58C2"/>
    <w:rsid w:val="00BC5C09"/>
    <w:rsid w:val="00BD6338"/>
    <w:rsid w:val="00BF4FD9"/>
    <w:rsid w:val="00C2611C"/>
    <w:rsid w:val="00C57A3A"/>
    <w:rsid w:val="00C60354"/>
    <w:rsid w:val="00C73240"/>
    <w:rsid w:val="00C93AC9"/>
    <w:rsid w:val="00CC10DF"/>
    <w:rsid w:val="00CD0812"/>
    <w:rsid w:val="00D1075A"/>
    <w:rsid w:val="00D25EE4"/>
    <w:rsid w:val="00D32665"/>
    <w:rsid w:val="00D4655E"/>
    <w:rsid w:val="00D62026"/>
    <w:rsid w:val="00D74DCB"/>
    <w:rsid w:val="00D8630B"/>
    <w:rsid w:val="00DB5F98"/>
    <w:rsid w:val="00DD10E1"/>
    <w:rsid w:val="00DF0B5E"/>
    <w:rsid w:val="00DF2F96"/>
    <w:rsid w:val="00DF5C62"/>
    <w:rsid w:val="00E0656B"/>
    <w:rsid w:val="00E0693C"/>
    <w:rsid w:val="00E06B5F"/>
    <w:rsid w:val="00E15F5E"/>
    <w:rsid w:val="00E30F50"/>
    <w:rsid w:val="00E43357"/>
    <w:rsid w:val="00E56241"/>
    <w:rsid w:val="00E6235F"/>
    <w:rsid w:val="00E730B1"/>
    <w:rsid w:val="00E8041D"/>
    <w:rsid w:val="00EA05F8"/>
    <w:rsid w:val="00EB06F1"/>
    <w:rsid w:val="00EB1A27"/>
    <w:rsid w:val="00EB549C"/>
    <w:rsid w:val="00EB69DA"/>
    <w:rsid w:val="00EC4463"/>
    <w:rsid w:val="00ED767F"/>
    <w:rsid w:val="00EE6992"/>
    <w:rsid w:val="00EE7583"/>
    <w:rsid w:val="00EF4E64"/>
    <w:rsid w:val="00F05477"/>
    <w:rsid w:val="00F11A61"/>
    <w:rsid w:val="00F15EB6"/>
    <w:rsid w:val="00F2132F"/>
    <w:rsid w:val="00F24905"/>
    <w:rsid w:val="00F53BFF"/>
    <w:rsid w:val="00F576D7"/>
    <w:rsid w:val="00F67C98"/>
    <w:rsid w:val="00F71C0A"/>
    <w:rsid w:val="00F8344E"/>
    <w:rsid w:val="00F901D5"/>
    <w:rsid w:val="00FB527A"/>
    <w:rsid w:val="00FC48F1"/>
    <w:rsid w:val="00FD2602"/>
    <w:rsid w:val="00FF71B7"/>
    <w:rsid w:val="01CE57B8"/>
    <w:rsid w:val="01DC7E09"/>
    <w:rsid w:val="02555492"/>
    <w:rsid w:val="04822175"/>
    <w:rsid w:val="05257DE5"/>
    <w:rsid w:val="058361BB"/>
    <w:rsid w:val="05A30D0A"/>
    <w:rsid w:val="05B32952"/>
    <w:rsid w:val="05CC64B2"/>
    <w:rsid w:val="05DC0E1A"/>
    <w:rsid w:val="078B0611"/>
    <w:rsid w:val="08EB3C9B"/>
    <w:rsid w:val="09491BC8"/>
    <w:rsid w:val="095735CC"/>
    <w:rsid w:val="09B864D9"/>
    <w:rsid w:val="09E04336"/>
    <w:rsid w:val="0AE616EA"/>
    <w:rsid w:val="0B1C57E6"/>
    <w:rsid w:val="0B3D6DB9"/>
    <w:rsid w:val="0BD845F9"/>
    <w:rsid w:val="0C5D689E"/>
    <w:rsid w:val="0C7B6DEC"/>
    <w:rsid w:val="0E60605E"/>
    <w:rsid w:val="0F1A3E6E"/>
    <w:rsid w:val="0FBD50BE"/>
    <w:rsid w:val="0FCF75B6"/>
    <w:rsid w:val="0FE3314F"/>
    <w:rsid w:val="102011EA"/>
    <w:rsid w:val="104A5783"/>
    <w:rsid w:val="104B1889"/>
    <w:rsid w:val="10AD1C02"/>
    <w:rsid w:val="10C5247C"/>
    <w:rsid w:val="11050ACA"/>
    <w:rsid w:val="11911382"/>
    <w:rsid w:val="12780400"/>
    <w:rsid w:val="12AF4661"/>
    <w:rsid w:val="138404EB"/>
    <w:rsid w:val="14DC5FE6"/>
    <w:rsid w:val="15C563DF"/>
    <w:rsid w:val="16225C7A"/>
    <w:rsid w:val="165056E8"/>
    <w:rsid w:val="175621FE"/>
    <w:rsid w:val="19951659"/>
    <w:rsid w:val="19A60971"/>
    <w:rsid w:val="1A206975"/>
    <w:rsid w:val="1A450189"/>
    <w:rsid w:val="1AA9059A"/>
    <w:rsid w:val="1B4E06AF"/>
    <w:rsid w:val="1B5D074F"/>
    <w:rsid w:val="1BFD6F6E"/>
    <w:rsid w:val="1C136445"/>
    <w:rsid w:val="1C3F1CE7"/>
    <w:rsid w:val="1C8E5E18"/>
    <w:rsid w:val="1CBD3C27"/>
    <w:rsid w:val="1DD54719"/>
    <w:rsid w:val="1E5135A1"/>
    <w:rsid w:val="1E95622A"/>
    <w:rsid w:val="1EBA1114"/>
    <w:rsid w:val="1EBA1146"/>
    <w:rsid w:val="1ED8785D"/>
    <w:rsid w:val="1F46407D"/>
    <w:rsid w:val="1F6115C2"/>
    <w:rsid w:val="1FB7538F"/>
    <w:rsid w:val="20506E01"/>
    <w:rsid w:val="213C22E6"/>
    <w:rsid w:val="224A0A33"/>
    <w:rsid w:val="22AA14D2"/>
    <w:rsid w:val="22C5283F"/>
    <w:rsid w:val="22DD18A7"/>
    <w:rsid w:val="249C4CD1"/>
    <w:rsid w:val="260A119C"/>
    <w:rsid w:val="26962499"/>
    <w:rsid w:val="270555BD"/>
    <w:rsid w:val="27BF425E"/>
    <w:rsid w:val="27D429AB"/>
    <w:rsid w:val="28780176"/>
    <w:rsid w:val="28CC0E0C"/>
    <w:rsid w:val="28F61E20"/>
    <w:rsid w:val="29424212"/>
    <w:rsid w:val="2A002B9C"/>
    <w:rsid w:val="2A24600D"/>
    <w:rsid w:val="2AA3224D"/>
    <w:rsid w:val="2AC31382"/>
    <w:rsid w:val="2B4F2228"/>
    <w:rsid w:val="2BA9447F"/>
    <w:rsid w:val="2BDE5BE1"/>
    <w:rsid w:val="2BFB2047"/>
    <w:rsid w:val="2C1531D2"/>
    <w:rsid w:val="2D1A748A"/>
    <w:rsid w:val="2D7E4B27"/>
    <w:rsid w:val="2DCD368B"/>
    <w:rsid w:val="2E9372BE"/>
    <w:rsid w:val="2F210D6D"/>
    <w:rsid w:val="2FA8323D"/>
    <w:rsid w:val="307F3F9D"/>
    <w:rsid w:val="30A12166"/>
    <w:rsid w:val="31842522"/>
    <w:rsid w:val="32D00FD8"/>
    <w:rsid w:val="35531555"/>
    <w:rsid w:val="35951B6D"/>
    <w:rsid w:val="359E1FAA"/>
    <w:rsid w:val="35D073A0"/>
    <w:rsid w:val="360D2EDF"/>
    <w:rsid w:val="366E47ED"/>
    <w:rsid w:val="36E42DAC"/>
    <w:rsid w:val="36F62AE0"/>
    <w:rsid w:val="3724764D"/>
    <w:rsid w:val="37335500"/>
    <w:rsid w:val="374A1FCB"/>
    <w:rsid w:val="377B62C7"/>
    <w:rsid w:val="37AE4FB4"/>
    <w:rsid w:val="37F66CFA"/>
    <w:rsid w:val="384B0C09"/>
    <w:rsid w:val="38EC5572"/>
    <w:rsid w:val="39C2243E"/>
    <w:rsid w:val="3A322742"/>
    <w:rsid w:val="3A563CE0"/>
    <w:rsid w:val="3A923154"/>
    <w:rsid w:val="3AAD0204"/>
    <w:rsid w:val="3AC56A51"/>
    <w:rsid w:val="3AFB6916"/>
    <w:rsid w:val="3B8C3A12"/>
    <w:rsid w:val="3B984165"/>
    <w:rsid w:val="3BBE6CF5"/>
    <w:rsid w:val="3BC90495"/>
    <w:rsid w:val="3C175F4E"/>
    <w:rsid w:val="3C2576AE"/>
    <w:rsid w:val="3D146424"/>
    <w:rsid w:val="3D2A1D9C"/>
    <w:rsid w:val="3DB87E00"/>
    <w:rsid w:val="3DCB25D0"/>
    <w:rsid w:val="3F870779"/>
    <w:rsid w:val="41574ECB"/>
    <w:rsid w:val="41643D9A"/>
    <w:rsid w:val="41AD2FCF"/>
    <w:rsid w:val="421669BC"/>
    <w:rsid w:val="42220C2D"/>
    <w:rsid w:val="42D12B1E"/>
    <w:rsid w:val="441560DE"/>
    <w:rsid w:val="44872FC9"/>
    <w:rsid w:val="458B0897"/>
    <w:rsid w:val="46FC1A4C"/>
    <w:rsid w:val="46FF4F63"/>
    <w:rsid w:val="472E35BF"/>
    <w:rsid w:val="475C698F"/>
    <w:rsid w:val="477517FF"/>
    <w:rsid w:val="47E32C53"/>
    <w:rsid w:val="48587E6B"/>
    <w:rsid w:val="49184B37"/>
    <w:rsid w:val="498C5205"/>
    <w:rsid w:val="49D56DC9"/>
    <w:rsid w:val="4A4469AD"/>
    <w:rsid w:val="4BFB1877"/>
    <w:rsid w:val="4CDC4EF5"/>
    <w:rsid w:val="4DAE7818"/>
    <w:rsid w:val="4DE0356D"/>
    <w:rsid w:val="4E2773A5"/>
    <w:rsid w:val="4E5E0C23"/>
    <w:rsid w:val="4EB12724"/>
    <w:rsid w:val="4F0B5367"/>
    <w:rsid w:val="4F4B3358"/>
    <w:rsid w:val="4FD0079A"/>
    <w:rsid w:val="502838B2"/>
    <w:rsid w:val="50450405"/>
    <w:rsid w:val="50770ACF"/>
    <w:rsid w:val="50A10CE3"/>
    <w:rsid w:val="50C86E43"/>
    <w:rsid w:val="512C5624"/>
    <w:rsid w:val="51FB0341"/>
    <w:rsid w:val="52043EAB"/>
    <w:rsid w:val="52DE1FDF"/>
    <w:rsid w:val="531C042C"/>
    <w:rsid w:val="532365B3"/>
    <w:rsid w:val="53970F8F"/>
    <w:rsid w:val="53E45D42"/>
    <w:rsid w:val="544C195D"/>
    <w:rsid w:val="54890697"/>
    <w:rsid w:val="5563713A"/>
    <w:rsid w:val="55C23FED"/>
    <w:rsid w:val="56F73FDE"/>
    <w:rsid w:val="57855BEF"/>
    <w:rsid w:val="58632671"/>
    <w:rsid w:val="58BD0AC1"/>
    <w:rsid w:val="598F49A2"/>
    <w:rsid w:val="5A6E7769"/>
    <w:rsid w:val="5AA4622B"/>
    <w:rsid w:val="5BEF1B42"/>
    <w:rsid w:val="5CED51B1"/>
    <w:rsid w:val="5E174F66"/>
    <w:rsid w:val="5E664350"/>
    <w:rsid w:val="5E9A1E1F"/>
    <w:rsid w:val="5EFC4888"/>
    <w:rsid w:val="600339F4"/>
    <w:rsid w:val="60522764"/>
    <w:rsid w:val="60AE243D"/>
    <w:rsid w:val="61B4331E"/>
    <w:rsid w:val="625642AF"/>
    <w:rsid w:val="62C236F2"/>
    <w:rsid w:val="63BF5231"/>
    <w:rsid w:val="63FE51FE"/>
    <w:rsid w:val="64361511"/>
    <w:rsid w:val="65694555"/>
    <w:rsid w:val="65A90B99"/>
    <w:rsid w:val="66227E20"/>
    <w:rsid w:val="667F18FA"/>
    <w:rsid w:val="67365A7F"/>
    <w:rsid w:val="675572E9"/>
    <w:rsid w:val="67B657F0"/>
    <w:rsid w:val="68386205"/>
    <w:rsid w:val="68867A4C"/>
    <w:rsid w:val="69C70271"/>
    <w:rsid w:val="69D15D13"/>
    <w:rsid w:val="69DF1A6F"/>
    <w:rsid w:val="6AED1E20"/>
    <w:rsid w:val="6B840EF6"/>
    <w:rsid w:val="6C493C2B"/>
    <w:rsid w:val="6CC8230C"/>
    <w:rsid w:val="6D5D0BE7"/>
    <w:rsid w:val="6D806684"/>
    <w:rsid w:val="6DD75558"/>
    <w:rsid w:val="6FC87DC6"/>
    <w:rsid w:val="710870BC"/>
    <w:rsid w:val="738335FF"/>
    <w:rsid w:val="73B026EC"/>
    <w:rsid w:val="749232EB"/>
    <w:rsid w:val="74F4785D"/>
    <w:rsid w:val="768D4081"/>
    <w:rsid w:val="773216A0"/>
    <w:rsid w:val="77562203"/>
    <w:rsid w:val="77AD0D23"/>
    <w:rsid w:val="77CA50CB"/>
    <w:rsid w:val="7840538D"/>
    <w:rsid w:val="78770E58"/>
    <w:rsid w:val="78907E00"/>
    <w:rsid w:val="78C338C8"/>
    <w:rsid w:val="795125A0"/>
    <w:rsid w:val="79CA54FA"/>
    <w:rsid w:val="79D63034"/>
    <w:rsid w:val="79E2358A"/>
    <w:rsid w:val="7A835A05"/>
    <w:rsid w:val="7AF34939"/>
    <w:rsid w:val="7D91028E"/>
    <w:rsid w:val="7D926AC5"/>
    <w:rsid w:val="7E3F55FE"/>
    <w:rsid w:val="7E80025A"/>
    <w:rsid w:val="7F030EC3"/>
    <w:rsid w:val="7FCFAF42"/>
    <w:rsid w:val="7FDD5FFE"/>
    <w:rsid w:val="DFEFA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6"/>
    <w:autoRedefine/>
    <w:qFormat/>
    <w:uiPriority w:val="0"/>
    <w:pPr>
      <w:keepNext/>
      <w:keepLines/>
      <w:numPr>
        <w:ilvl w:val="0"/>
        <w:numId w:val="1"/>
      </w:numPr>
      <w:spacing w:before="340" w:after="330" w:line="576" w:lineRule="auto"/>
      <w:outlineLvl w:val="0"/>
    </w:pPr>
    <w:rPr>
      <w:rFonts w:ascii="Times New Roman" w:hAnsi="Times New Roman" w:eastAsia="楷体_GB2312" w:cs="Times New Roman"/>
      <w:b/>
      <w:kern w:val="44"/>
      <w:sz w:val="72"/>
      <w:szCs w:val="20"/>
    </w:rPr>
  </w:style>
  <w:style w:type="paragraph" w:styleId="4">
    <w:name w:val="heading 2"/>
    <w:basedOn w:val="1"/>
    <w:next w:val="1"/>
    <w:link w:val="27"/>
    <w:autoRedefine/>
    <w:qFormat/>
    <w:uiPriority w:val="0"/>
    <w:pPr>
      <w:keepNext/>
      <w:keepLines/>
      <w:numPr>
        <w:ilvl w:val="1"/>
        <w:numId w:val="1"/>
      </w:numPr>
      <w:spacing w:before="20" w:after="20" w:line="500" w:lineRule="exact"/>
      <w:jc w:val="center"/>
      <w:outlineLvl w:val="1"/>
    </w:pPr>
    <w:rPr>
      <w:rFonts w:ascii="宋体" w:hAnsi="宋体" w:eastAsia="仿宋" w:cs="Times New Roman"/>
      <w:b/>
      <w:sz w:val="32"/>
      <w:szCs w:val="20"/>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6">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Cambria" w:hAnsi="Cambria" w:eastAsia="宋体" w:cs="Times New Roman"/>
      <w:sz w:val="24"/>
    </w:rPr>
  </w:style>
  <w:style w:type="paragraph" w:styleId="7">
    <w:name w:val="annotation text"/>
    <w:basedOn w:val="1"/>
    <w:link w:val="30"/>
    <w:autoRedefine/>
    <w:qFormat/>
    <w:uiPriority w:val="0"/>
    <w:pPr>
      <w:jc w:val="left"/>
    </w:pPr>
  </w:style>
  <w:style w:type="paragraph" w:styleId="8">
    <w:name w:val="Body Text"/>
    <w:basedOn w:val="1"/>
    <w:next w:val="9"/>
    <w:autoRedefine/>
    <w:qFormat/>
    <w:uiPriority w:val="99"/>
    <w:rPr>
      <w:rFonts w:ascii="黑体" w:hAnsi="Courier New" w:eastAsia="黑体"/>
      <w:sz w:val="30"/>
      <w:shd w:val="pct10" w:color="auto" w:fill="FFFFFF"/>
    </w:rPr>
  </w:style>
  <w:style w:type="paragraph" w:styleId="9">
    <w:name w:val="toc 2"/>
    <w:basedOn w:val="1"/>
    <w:next w:val="1"/>
    <w:autoRedefine/>
    <w:qFormat/>
    <w:uiPriority w:val="99"/>
    <w:pPr>
      <w:ind w:left="420" w:leftChars="2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next w:val="1"/>
    <w:autoRedefine/>
    <w:qFormat/>
    <w:uiPriority w:val="0"/>
    <w:pPr>
      <w:spacing w:beforeAutospacing="1" w:afterAutospacing="1"/>
      <w:jc w:val="left"/>
    </w:pPr>
    <w:rPr>
      <w:rFonts w:cs="Times New Roman"/>
      <w:kern w:val="0"/>
      <w:sz w:val="24"/>
    </w:rPr>
  </w:style>
  <w:style w:type="paragraph" w:styleId="13">
    <w:name w:val="annotation subject"/>
    <w:basedOn w:val="7"/>
    <w:next w:val="7"/>
    <w:link w:val="31"/>
    <w:autoRedefine/>
    <w:qFormat/>
    <w:uiPriority w:val="0"/>
    <w:rPr>
      <w:b/>
      <w:bCs/>
    </w:rPr>
  </w:style>
  <w:style w:type="table" w:styleId="15">
    <w:name w:val="Table Grid"/>
    <w:basedOn w:val="1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qFormat/>
    <w:uiPriority w:val="0"/>
    <w:rPr>
      <w:color w:val="800080"/>
      <w:u w:val="single"/>
    </w:rPr>
  </w:style>
  <w:style w:type="character" w:styleId="20">
    <w:name w:val="Hyperlink"/>
    <w:basedOn w:val="16"/>
    <w:autoRedefine/>
    <w:qFormat/>
    <w:uiPriority w:val="0"/>
    <w:rPr>
      <w:color w:val="0563C1" w:themeColor="hyperlink"/>
      <w:u w:val="single"/>
      <w14:textFill>
        <w14:solidFill>
          <w14:schemeClr w14:val="hlink"/>
        </w14:solidFill>
      </w14:textFill>
    </w:rPr>
  </w:style>
  <w:style w:type="character" w:styleId="21">
    <w:name w:val="annotation reference"/>
    <w:basedOn w:val="16"/>
    <w:autoRedefine/>
    <w:qFormat/>
    <w:uiPriority w:val="0"/>
    <w:rPr>
      <w:sz w:val="21"/>
      <w:szCs w:val="21"/>
    </w:rPr>
  </w:style>
  <w:style w:type="paragraph" w:customStyle="1" w:styleId="22">
    <w:name w:val="Fließtext"/>
    <w:basedOn w:val="1"/>
    <w:autoRedefine/>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character" w:customStyle="1" w:styleId="23">
    <w:name w:val="15"/>
    <w:basedOn w:val="16"/>
    <w:autoRedefine/>
    <w:qFormat/>
    <w:uiPriority w:val="99"/>
    <w:rPr>
      <w:rFonts w:ascii="Times New Roman" w:hAnsi="Times New Roman" w:cs="Times New Roman"/>
      <w:b/>
    </w:rPr>
  </w:style>
  <w:style w:type="paragraph" w:customStyle="1" w:styleId="24">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5">
    <w:name w:val="未处理的提及1"/>
    <w:basedOn w:val="16"/>
    <w:autoRedefine/>
    <w:semiHidden/>
    <w:unhideWhenUsed/>
    <w:qFormat/>
    <w:uiPriority w:val="99"/>
    <w:rPr>
      <w:color w:val="605E5C"/>
      <w:shd w:val="clear" w:color="auto" w:fill="E1DFDD"/>
    </w:rPr>
  </w:style>
  <w:style w:type="character" w:customStyle="1" w:styleId="26">
    <w:name w:val="标题 1 字符"/>
    <w:basedOn w:val="16"/>
    <w:link w:val="3"/>
    <w:autoRedefine/>
    <w:qFormat/>
    <w:uiPriority w:val="0"/>
    <w:rPr>
      <w:rFonts w:eastAsia="楷体_GB2312"/>
      <w:b/>
      <w:kern w:val="44"/>
      <w:sz w:val="72"/>
    </w:rPr>
  </w:style>
  <w:style w:type="character" w:customStyle="1" w:styleId="27">
    <w:name w:val="标题 2 字符"/>
    <w:basedOn w:val="16"/>
    <w:link w:val="4"/>
    <w:autoRedefine/>
    <w:qFormat/>
    <w:uiPriority w:val="0"/>
    <w:rPr>
      <w:rFonts w:ascii="宋体" w:hAnsi="宋体" w:eastAsia="仿宋"/>
      <w:b/>
      <w:kern w:val="2"/>
      <w:sz w:val="32"/>
    </w:rPr>
  </w:style>
  <w:style w:type="character" w:customStyle="1" w:styleId="28">
    <w:name w:val="招标文件正文 Char Char"/>
    <w:link w:val="29"/>
    <w:autoRedefine/>
    <w:qFormat/>
    <w:uiPriority w:val="0"/>
    <w:rPr>
      <w:sz w:val="32"/>
      <w:szCs w:val="32"/>
    </w:rPr>
  </w:style>
  <w:style w:type="paragraph" w:customStyle="1" w:styleId="29">
    <w:name w:val="招标文件正文"/>
    <w:basedOn w:val="1"/>
    <w:link w:val="28"/>
    <w:autoRedefine/>
    <w:qFormat/>
    <w:uiPriority w:val="0"/>
    <w:pPr>
      <w:spacing w:line="300" w:lineRule="auto"/>
      <w:ind w:firstLine="200" w:firstLineChars="200"/>
      <w:jc w:val="left"/>
    </w:pPr>
    <w:rPr>
      <w:rFonts w:ascii="Times New Roman" w:hAnsi="Times New Roman" w:eastAsia="宋体" w:cs="Times New Roman"/>
      <w:kern w:val="0"/>
      <w:sz w:val="32"/>
      <w:szCs w:val="32"/>
    </w:rPr>
  </w:style>
  <w:style w:type="character" w:customStyle="1" w:styleId="30">
    <w:name w:val="批注文字 字符"/>
    <w:basedOn w:val="16"/>
    <w:link w:val="7"/>
    <w:autoRedefine/>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3"/>
    <w:autoRedefine/>
    <w:qFormat/>
    <w:uiPriority w:val="0"/>
    <w:rPr>
      <w:rFonts w:asciiTheme="minorHAnsi" w:hAnsiTheme="minorHAnsi" w:eastAsiaTheme="minorEastAsia" w:cstheme="minorBidi"/>
      <w:b/>
      <w:bCs/>
      <w:kern w:val="2"/>
      <w:sz w:val="21"/>
      <w:szCs w:val="24"/>
    </w:rPr>
  </w:style>
  <w:style w:type="paragraph" w:customStyle="1" w:styleId="32">
    <w:name w:val="p0"/>
    <w:basedOn w:val="1"/>
    <w:autoRedefine/>
    <w:qFormat/>
    <w:uiPriority w:val="0"/>
    <w:pPr>
      <w:widowControl/>
    </w:pPr>
    <w:rPr>
      <w:rFonts w:ascii="仿宋_GB2312" w:hAnsi="宋体" w:eastAsia="仿宋_GB2312" w:cs="宋体"/>
      <w:kern w:val="0"/>
      <w:sz w:val="32"/>
      <w:szCs w:val="32"/>
    </w:rPr>
  </w:style>
  <w:style w:type="paragraph" w:customStyle="1" w:styleId="33">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列出段落1"/>
    <w:basedOn w:val="1"/>
    <w:autoRedefine/>
    <w:qFormat/>
    <w:uiPriority w:val="0"/>
    <w:pPr>
      <w:ind w:firstLine="480" w:firstLineChars="200"/>
    </w:pPr>
  </w:style>
  <w:style w:type="character" w:customStyle="1" w:styleId="35">
    <w:name w:val="font01"/>
    <w:basedOn w:val="16"/>
    <w:autoRedefine/>
    <w:qFormat/>
    <w:uiPriority w:val="0"/>
    <w:rPr>
      <w:rFonts w:hint="eastAsia" w:ascii="宋体" w:hAnsi="宋体" w:eastAsia="宋体" w:cs="宋体"/>
      <w:color w:val="000000"/>
      <w:sz w:val="22"/>
      <w:szCs w:val="22"/>
      <w:u w:val="none"/>
    </w:rPr>
  </w:style>
  <w:style w:type="character" w:customStyle="1" w:styleId="36">
    <w:name w:val="font21"/>
    <w:basedOn w:val="16"/>
    <w:autoRedefine/>
    <w:qFormat/>
    <w:uiPriority w:val="0"/>
    <w:rPr>
      <w:rFonts w:hint="default" w:ascii="Arial Black" w:hAnsi="Arial Black" w:eastAsia="Arial Black" w:cs="Arial Black"/>
      <w:color w:val="000000"/>
      <w:sz w:val="22"/>
      <w:szCs w:val="22"/>
      <w:u w:val="none"/>
    </w:rPr>
  </w:style>
  <w:style w:type="paragraph" w:customStyle="1" w:styleId="37">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38">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15772</Words>
  <Characters>16424</Characters>
  <Lines>130</Lines>
  <Paragraphs>36</Paragraphs>
  <TotalTime>67</TotalTime>
  <ScaleCrop>false</ScaleCrop>
  <LinksUpToDate>false</LinksUpToDate>
  <CharactersWithSpaces>17224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2022-09-05T06:01:00Z</dcterms:created>
  <dc:creator>z</dc:creator>
  <cp:lastModifiedBy>Xin Ying</cp:lastModifiedBy>
  <dcterms:modified xsi:type="dcterms:W3CDTF">2024-01-18T09:19:59Z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CA8216E901DF4929B123CB8D40C94946_13</vt:lpwstr>
  </property>
</Properties>
</file>